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4.xml" ContentType="application/vnd.openxmlformats-officedocument.drawingml.chartshapes+xml"/>
  <Override PartName="/word/charts/chart11.xml" ContentType="application/vnd.openxmlformats-officedocument.drawingml.chart+xml"/>
  <Override PartName="/word/drawings/drawing5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6C" w:rsidRDefault="001709F6" w:rsidP="003A4DE1">
      <w:pPr>
        <w:jc w:val="center"/>
        <w:rPr>
          <w:b/>
        </w:rPr>
      </w:pPr>
      <w:r w:rsidRPr="00246FCF">
        <w:rPr>
          <w:b/>
        </w:rPr>
        <w:t>Cuadros MAPEAL</w:t>
      </w:r>
    </w:p>
    <w:p w:rsidR="007F09E7" w:rsidRDefault="001B07AB" w:rsidP="007F09E7">
      <w:pPr>
        <w:rPr>
          <w:b/>
        </w:rPr>
      </w:pPr>
      <w:r w:rsidRPr="002F3C42">
        <w:rPr>
          <w:b/>
          <w:highlight w:val="yellow"/>
        </w:rPr>
        <w:t>EVOLUCIÓN ESTADÍSTICAS</w:t>
      </w:r>
      <w:r w:rsidR="007F09E7" w:rsidRPr="002F3C42">
        <w:rPr>
          <w:b/>
          <w:highlight w:val="yellow"/>
        </w:rPr>
        <w:t xml:space="preserve"> SOCIALES Y EDUCATIVAS</w:t>
      </w:r>
    </w:p>
    <w:p w:rsidR="001B07AB" w:rsidRDefault="007F09E7" w:rsidP="007F09E7">
      <w:pPr>
        <w:rPr>
          <w:b/>
        </w:rPr>
      </w:pPr>
      <w:r>
        <w:rPr>
          <w:b/>
        </w:rPr>
        <w:t xml:space="preserve">Nivel de pobreza </w:t>
      </w:r>
      <w:r w:rsidR="000551D1">
        <w:rPr>
          <w:b/>
        </w:rPr>
        <w:t>en América Latina</w:t>
      </w:r>
    </w:p>
    <w:p w:rsidR="007F09E7" w:rsidRPr="00466553" w:rsidRDefault="007F09E7" w:rsidP="00466553">
      <w:pPr>
        <w:pStyle w:val="Prrafodelista"/>
        <w:numPr>
          <w:ilvl w:val="0"/>
          <w:numId w:val="8"/>
        </w:numPr>
        <w:rPr>
          <w:b/>
        </w:rPr>
      </w:pPr>
      <w:r w:rsidRPr="00466553">
        <w:rPr>
          <w:b/>
        </w:rPr>
        <w:t xml:space="preserve">Porcentaje de población que vive con menos de 4 dólares diarios – </w:t>
      </w:r>
      <w:r w:rsidR="001B07AB" w:rsidRPr="00466553">
        <w:rPr>
          <w:b/>
        </w:rPr>
        <w:t xml:space="preserve"> Países seleccionados - </w:t>
      </w:r>
      <w:r w:rsidRPr="00466553">
        <w:rPr>
          <w:b/>
        </w:rPr>
        <w:t>Años 2000 y 2012</w:t>
      </w:r>
    </w:p>
    <w:p w:rsidR="007F09E7" w:rsidRDefault="007F09E7" w:rsidP="007F09E7">
      <w:pPr>
        <w:rPr>
          <w:b/>
        </w:rPr>
      </w:pPr>
      <w:r w:rsidRPr="007F09E7">
        <w:rPr>
          <w:noProof/>
          <w:lang w:eastAsia="es-AR"/>
        </w:rPr>
        <w:drawing>
          <wp:inline distT="0" distB="0" distL="0" distR="0" wp14:anchorId="2C8E822F" wp14:editId="72250356">
            <wp:extent cx="7052310" cy="236372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23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D0" w:rsidRPr="00815B36" w:rsidRDefault="00D533D0" w:rsidP="00D533D0">
      <w:pPr>
        <w:rPr>
          <w:rFonts w:ascii="Arial" w:eastAsia="Times New Roman" w:hAnsi="Arial" w:cs="Arial"/>
          <w:sz w:val="18"/>
          <w:szCs w:val="18"/>
          <w:lang w:eastAsia="es-AR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</w:t>
      </w:r>
      <w:r>
        <w:rPr>
          <w:sz w:val="20"/>
          <w:szCs w:val="20"/>
        </w:rPr>
        <w:t>SEDLAC.</w:t>
      </w:r>
    </w:p>
    <w:p w:rsidR="001B07AB" w:rsidRDefault="001B07AB" w:rsidP="001B07AB">
      <w:pPr>
        <w:rPr>
          <w:b/>
        </w:rPr>
      </w:pPr>
    </w:p>
    <w:p w:rsidR="001B07AB" w:rsidRDefault="001B07AB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1B07AB" w:rsidRPr="00466553" w:rsidRDefault="000551D1" w:rsidP="00466553">
      <w:pPr>
        <w:pStyle w:val="Prrafodelista"/>
        <w:numPr>
          <w:ilvl w:val="0"/>
          <w:numId w:val="8"/>
        </w:numPr>
        <w:rPr>
          <w:b/>
        </w:rPr>
      </w:pPr>
      <w:r w:rsidRPr="00466553">
        <w:rPr>
          <w:b/>
        </w:rPr>
        <w:t xml:space="preserve">Coeficiente de </w:t>
      </w:r>
      <w:proofErr w:type="spellStart"/>
      <w:r w:rsidRPr="00466553">
        <w:rPr>
          <w:b/>
        </w:rPr>
        <w:t>Gini</w:t>
      </w:r>
      <w:proofErr w:type="spellEnd"/>
      <w:r w:rsidRPr="00466553">
        <w:rPr>
          <w:b/>
        </w:rPr>
        <w:t xml:space="preserve"> en Amér</w:t>
      </w:r>
      <w:r w:rsidR="001B07AB" w:rsidRPr="00466553">
        <w:rPr>
          <w:b/>
        </w:rPr>
        <w:t>ica Latina–  Países seleccionados - Años 2000 y 2012</w:t>
      </w:r>
    </w:p>
    <w:p w:rsidR="007F09E7" w:rsidRDefault="000551D1" w:rsidP="00D533D0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10FDF846" wp14:editId="7A2A5CFC">
            <wp:extent cx="5612130" cy="367855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3D0" w:rsidRPr="00815B36" w:rsidRDefault="00D533D0" w:rsidP="00D533D0">
      <w:pPr>
        <w:rPr>
          <w:rFonts w:ascii="Arial" w:eastAsia="Times New Roman" w:hAnsi="Arial" w:cs="Arial"/>
          <w:sz w:val="18"/>
          <w:szCs w:val="18"/>
          <w:lang w:eastAsia="es-AR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</w:t>
      </w:r>
      <w:r>
        <w:rPr>
          <w:sz w:val="20"/>
          <w:szCs w:val="20"/>
        </w:rPr>
        <w:t>SEDLAC.</w:t>
      </w:r>
    </w:p>
    <w:p w:rsidR="001B07AB" w:rsidRDefault="001B07AB" w:rsidP="001B07AB">
      <w:pPr>
        <w:rPr>
          <w:b/>
          <w:u w:val="single"/>
        </w:rPr>
      </w:pPr>
    </w:p>
    <w:p w:rsidR="001B07AB" w:rsidRDefault="001B07AB" w:rsidP="001B07AB">
      <w:pPr>
        <w:rPr>
          <w:b/>
          <w:u w:val="single"/>
        </w:rPr>
      </w:pPr>
    </w:p>
    <w:p w:rsidR="002F3C42" w:rsidRDefault="002F3C42" w:rsidP="00081C45">
      <w:pPr>
        <w:rPr>
          <w:b/>
        </w:rPr>
      </w:pPr>
    </w:p>
    <w:p w:rsidR="002F3C42" w:rsidRDefault="002F3C42" w:rsidP="00081C45">
      <w:pPr>
        <w:rPr>
          <w:b/>
        </w:rPr>
      </w:pPr>
    </w:p>
    <w:p w:rsidR="005A61E2" w:rsidRDefault="005A61E2" w:rsidP="00081C45">
      <w:pPr>
        <w:rPr>
          <w:b/>
        </w:rPr>
      </w:pPr>
    </w:p>
    <w:p w:rsidR="005A61E2" w:rsidRDefault="005A61E2" w:rsidP="00081C45">
      <w:pPr>
        <w:rPr>
          <w:b/>
        </w:rPr>
      </w:pPr>
    </w:p>
    <w:p w:rsidR="005A61E2" w:rsidRDefault="005A61E2" w:rsidP="00081C45">
      <w:pPr>
        <w:rPr>
          <w:b/>
        </w:rPr>
      </w:pPr>
    </w:p>
    <w:p w:rsidR="005A61E2" w:rsidRDefault="005A61E2" w:rsidP="00081C45">
      <w:pPr>
        <w:rPr>
          <w:b/>
        </w:rPr>
      </w:pPr>
    </w:p>
    <w:p w:rsidR="00E0742C" w:rsidRDefault="00E0742C" w:rsidP="001B07AB">
      <w:pPr>
        <w:rPr>
          <w:b/>
        </w:rPr>
      </w:pPr>
    </w:p>
    <w:p w:rsidR="00081C45" w:rsidRPr="00466553" w:rsidRDefault="00E0742C" w:rsidP="00466553">
      <w:pPr>
        <w:pStyle w:val="Prrafodelista"/>
        <w:numPr>
          <w:ilvl w:val="0"/>
          <w:numId w:val="8"/>
        </w:numPr>
        <w:rPr>
          <w:b/>
        </w:rPr>
      </w:pPr>
      <w:r w:rsidRPr="00466553">
        <w:rPr>
          <w:b/>
        </w:rPr>
        <w:t>Escolarización en América Latina</w:t>
      </w:r>
    </w:p>
    <w:p w:rsidR="00E0742C" w:rsidRDefault="00E0742C" w:rsidP="001B07AB">
      <w:pPr>
        <w:rPr>
          <w:b/>
        </w:rPr>
      </w:pPr>
      <w:r>
        <w:rPr>
          <w:b/>
        </w:rPr>
        <w:t>Tasa neta de escolarización nivel secundario - Países seleccionados - Años 2000 y 2011</w:t>
      </w:r>
    </w:p>
    <w:p w:rsidR="00D533D0" w:rsidRDefault="00D533D0" w:rsidP="001B07AB">
      <w:pPr>
        <w:rPr>
          <w:b/>
        </w:rPr>
      </w:pPr>
    </w:p>
    <w:p w:rsidR="00C93E5B" w:rsidRDefault="00E0742C" w:rsidP="001B07AB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2D1D4DA5" wp14:editId="58387075">
            <wp:extent cx="4572000" cy="2743200"/>
            <wp:effectExtent l="0" t="0" r="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33D0" w:rsidRPr="00CA3CAB" w:rsidRDefault="00D533D0" w:rsidP="00E0742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es-AR"/>
        </w:rPr>
      </w:pPr>
      <w:r w:rsidRPr="00CA3CAB">
        <w:rPr>
          <w:rFonts w:ascii="Verdana" w:eastAsia="Times New Roman" w:hAnsi="Verdana" w:cs="Arial"/>
          <w:sz w:val="18"/>
          <w:szCs w:val="18"/>
          <w:lang w:eastAsia="es-AR"/>
        </w:rPr>
        <w:t>Nota: Colombia sin datos para el 2000.</w:t>
      </w:r>
    </w:p>
    <w:tbl>
      <w:tblPr>
        <w:tblW w:w="34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</w:tblGrid>
      <w:tr w:rsidR="00CA3CAB" w:rsidRPr="00CA3CAB" w:rsidTr="00CA3CA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CAB" w:rsidRPr="00CA3CAB" w:rsidRDefault="00CA3CAB" w:rsidP="00CA3C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AR"/>
              </w:rPr>
            </w:pPr>
            <w:r w:rsidRPr="00CA3CAB">
              <w:rPr>
                <w:rFonts w:ascii="Verdana" w:eastAsia="Times New Roman" w:hAnsi="Verdana" w:cs="Arial"/>
                <w:sz w:val="18"/>
                <w:szCs w:val="18"/>
                <w:lang w:eastAsia="es-AR"/>
              </w:rPr>
              <w:t>* Año 2001 en lugar de 2000</w:t>
            </w:r>
          </w:p>
        </w:tc>
      </w:tr>
      <w:tr w:rsidR="00CA3CAB" w:rsidRPr="00CA3CAB" w:rsidTr="00CA3CA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CAB" w:rsidRPr="00CA3CAB" w:rsidRDefault="00CA3CAB" w:rsidP="00CA3C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AR"/>
              </w:rPr>
            </w:pPr>
            <w:r w:rsidRPr="00CA3CAB">
              <w:rPr>
                <w:rFonts w:ascii="Verdana" w:eastAsia="Times New Roman" w:hAnsi="Verdana" w:cs="Arial"/>
                <w:sz w:val="18"/>
                <w:szCs w:val="18"/>
                <w:lang w:eastAsia="es-AR"/>
              </w:rPr>
              <w:t>** Año 2010 en lugar de 2011</w:t>
            </w:r>
          </w:p>
        </w:tc>
      </w:tr>
      <w:tr w:rsidR="00CA3CAB" w:rsidRPr="00CA3CAB" w:rsidTr="00CA3CAB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CAB" w:rsidRPr="00CA3CAB" w:rsidRDefault="00CA3CAB" w:rsidP="00CA3C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AR"/>
              </w:rPr>
            </w:pPr>
            <w:r w:rsidRPr="00CA3CAB">
              <w:rPr>
                <w:rFonts w:ascii="Verdana" w:eastAsia="Times New Roman" w:hAnsi="Verdana" w:cs="Arial"/>
                <w:sz w:val="18"/>
                <w:szCs w:val="18"/>
                <w:lang w:eastAsia="es-AR"/>
              </w:rPr>
              <w:t>*** Año 2009 en lugar de 2011</w:t>
            </w:r>
          </w:p>
        </w:tc>
      </w:tr>
    </w:tbl>
    <w:p w:rsidR="00E0742C" w:rsidRPr="00E0742C" w:rsidRDefault="00E0742C" w:rsidP="00E0742C">
      <w:pPr>
        <w:spacing w:after="0" w:line="240" w:lineRule="auto"/>
        <w:rPr>
          <w:rFonts w:ascii="Calibri" w:eastAsia="Times New Roman" w:hAnsi="Calibri" w:cs="Arial"/>
          <w:color w:val="000000"/>
          <w:lang w:eastAsia="es-AR"/>
        </w:rPr>
      </w:pPr>
      <w:r w:rsidRPr="00E0742C">
        <w:rPr>
          <w:rFonts w:ascii="Calibri" w:eastAsia="Times New Roman" w:hAnsi="Calibri" w:cs="Arial"/>
          <w:color w:val="000000"/>
          <w:lang w:eastAsia="es-AR"/>
        </w:rPr>
        <w:t xml:space="preserve">Fuente: </w:t>
      </w:r>
      <w:r w:rsidR="00D533D0">
        <w:rPr>
          <w:rFonts w:ascii="Calibri" w:eastAsia="Times New Roman" w:hAnsi="Calibri" w:cs="Arial"/>
          <w:color w:val="000000"/>
          <w:lang w:eastAsia="es-AR"/>
        </w:rPr>
        <w:t xml:space="preserve">CIPPEC, sobre la base de </w:t>
      </w:r>
      <w:r w:rsidR="00B579D7" w:rsidRPr="00B579D7">
        <w:rPr>
          <w:rFonts w:ascii="Calibri" w:eastAsia="Times New Roman" w:hAnsi="Calibri" w:cs="Arial"/>
          <w:color w:val="000000"/>
          <w:lang w:eastAsia="es-AR"/>
        </w:rPr>
        <w:t>IIPE - UNESCO / OEI</w:t>
      </w:r>
      <w:r w:rsidRPr="00E0742C">
        <w:rPr>
          <w:rFonts w:ascii="Calibri" w:eastAsia="Times New Roman" w:hAnsi="Calibri" w:cs="Arial"/>
          <w:color w:val="000000"/>
          <w:lang w:eastAsia="es-AR"/>
        </w:rPr>
        <w:t xml:space="preserve"> construido en base a las Encuestas Permane</w:t>
      </w:r>
      <w:r>
        <w:rPr>
          <w:rFonts w:ascii="Calibri" w:eastAsia="Times New Roman" w:hAnsi="Calibri" w:cs="Arial"/>
          <w:color w:val="000000"/>
          <w:lang w:eastAsia="es-AR"/>
        </w:rPr>
        <w:t>n</w:t>
      </w:r>
      <w:r w:rsidRPr="00E0742C">
        <w:rPr>
          <w:rFonts w:ascii="Calibri" w:eastAsia="Times New Roman" w:hAnsi="Calibri" w:cs="Arial"/>
          <w:color w:val="000000"/>
          <w:lang w:eastAsia="es-AR"/>
        </w:rPr>
        <w:t>tes de Hogares.</w:t>
      </w:r>
    </w:p>
    <w:p w:rsidR="00E0742C" w:rsidRPr="00E0742C" w:rsidRDefault="00E0742C" w:rsidP="00E0742C">
      <w:pPr>
        <w:spacing w:after="0" w:line="240" w:lineRule="auto"/>
        <w:rPr>
          <w:rFonts w:ascii="Calibri" w:eastAsia="Times New Roman" w:hAnsi="Calibri" w:cs="Arial"/>
          <w:color w:val="000000"/>
          <w:lang w:eastAsia="es-AR"/>
        </w:rPr>
      </w:pPr>
    </w:p>
    <w:p w:rsidR="002F3C42" w:rsidRDefault="002F3C42" w:rsidP="001B07AB">
      <w:pPr>
        <w:rPr>
          <w:b/>
          <w:u w:val="single"/>
        </w:rPr>
      </w:pPr>
    </w:p>
    <w:p w:rsidR="00142F6D" w:rsidRDefault="00142F6D" w:rsidP="00142F6D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5A61E2" w:rsidRDefault="005A61E2" w:rsidP="001B07AB">
      <w:pPr>
        <w:rPr>
          <w:b/>
        </w:rPr>
      </w:pPr>
    </w:p>
    <w:p w:rsidR="00F245E6" w:rsidRPr="00466553" w:rsidRDefault="00F245E6" w:rsidP="00466553">
      <w:pPr>
        <w:pStyle w:val="Prrafodelista"/>
        <w:numPr>
          <w:ilvl w:val="0"/>
          <w:numId w:val="8"/>
        </w:numPr>
        <w:rPr>
          <w:b/>
        </w:rPr>
      </w:pPr>
      <w:r w:rsidRPr="00466553">
        <w:rPr>
          <w:b/>
        </w:rPr>
        <w:t>Inversión educativa en América Latina</w:t>
      </w:r>
    </w:p>
    <w:p w:rsidR="00F245E6" w:rsidRPr="00081C45" w:rsidRDefault="00370C84" w:rsidP="00F245E6">
      <w:pPr>
        <w:rPr>
          <w:b/>
        </w:rPr>
      </w:pPr>
      <w:r>
        <w:rPr>
          <w:b/>
        </w:rPr>
        <w:t>Gasto en educación como porcentaje del Producto Bruto Interno</w:t>
      </w:r>
      <w:r w:rsidR="00F245E6" w:rsidRPr="00C93E5B">
        <w:rPr>
          <w:b/>
        </w:rPr>
        <w:t xml:space="preserve"> </w:t>
      </w:r>
      <w:r w:rsidR="00F245E6">
        <w:rPr>
          <w:b/>
        </w:rPr>
        <w:t>–</w:t>
      </w:r>
      <w:r w:rsidR="00F245E6" w:rsidRPr="00C93E5B">
        <w:rPr>
          <w:b/>
        </w:rPr>
        <w:t xml:space="preserve"> </w:t>
      </w:r>
      <w:r w:rsidR="00F245E6">
        <w:rPr>
          <w:b/>
        </w:rPr>
        <w:t xml:space="preserve">Países seleccionados - </w:t>
      </w:r>
      <w:r w:rsidR="003019C0">
        <w:rPr>
          <w:b/>
        </w:rPr>
        <w:t>Años 2000-2</w:t>
      </w:r>
      <w:r w:rsidR="00F245E6" w:rsidRPr="00C93E5B">
        <w:rPr>
          <w:b/>
        </w:rPr>
        <w:t>012</w:t>
      </w:r>
    </w:p>
    <w:p w:rsidR="00F245E6" w:rsidRPr="00F245E6" w:rsidRDefault="00F245E6" w:rsidP="001B07AB">
      <w:pPr>
        <w:rPr>
          <w:b/>
        </w:rPr>
      </w:pPr>
    </w:p>
    <w:p w:rsidR="002F3C42" w:rsidRDefault="00370C84" w:rsidP="001B07AB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1E2A6C71" wp14:editId="5C8EF4DB">
            <wp:extent cx="4572000" cy="2743200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32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CA3CAB" w:rsidRPr="00CA3CAB" w:rsidTr="00FB2949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AB" w:rsidRPr="00CA3CAB" w:rsidRDefault="00CA3CAB" w:rsidP="00CA3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CA3CAB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* Año 2001 en lugar de 2000</w:t>
            </w:r>
          </w:p>
        </w:tc>
      </w:tr>
      <w:tr w:rsidR="00CA3CAB" w:rsidRPr="00CA3CAB" w:rsidTr="00FB2949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AB" w:rsidRPr="00CA3CAB" w:rsidRDefault="00CA3CAB" w:rsidP="00CA3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CA3CAB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**Año 2011 en lugar de 2012</w:t>
            </w:r>
          </w:p>
        </w:tc>
      </w:tr>
      <w:tr w:rsidR="00CA3CAB" w:rsidRPr="00CA3CAB" w:rsidTr="00FB2949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AB" w:rsidRPr="00CA3CAB" w:rsidRDefault="00CA3CAB" w:rsidP="00CA3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CA3CAB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*** Año 2010 en lugar de 2012</w:t>
            </w:r>
          </w:p>
        </w:tc>
      </w:tr>
    </w:tbl>
    <w:p w:rsidR="00D533D0" w:rsidRPr="00815B36" w:rsidRDefault="00D533D0" w:rsidP="00D533D0">
      <w:pPr>
        <w:rPr>
          <w:rFonts w:ascii="Arial" w:eastAsia="Times New Roman" w:hAnsi="Arial" w:cs="Arial"/>
          <w:sz w:val="18"/>
          <w:szCs w:val="18"/>
          <w:lang w:eastAsia="es-AR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</w:t>
      </w:r>
      <w:r w:rsidRPr="00C45FF0">
        <w:rPr>
          <w:sz w:val="20"/>
          <w:szCs w:val="20"/>
        </w:rPr>
        <w:t>UIS UNESCO</w:t>
      </w: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5A61E2" w:rsidRDefault="005A61E2" w:rsidP="00142F6D">
      <w:pPr>
        <w:spacing w:after="0" w:line="240" w:lineRule="auto"/>
        <w:rPr>
          <w:b/>
        </w:rPr>
      </w:pPr>
    </w:p>
    <w:p w:rsidR="00142F6D" w:rsidRPr="00466553" w:rsidRDefault="00142F6D" w:rsidP="0046655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466553">
        <w:rPr>
          <w:b/>
        </w:rPr>
        <w:t>Inversión educativa por alumno como porcentaje de PBI per cápita - Países seleccionados - Años 2000-2011</w:t>
      </w:r>
    </w:p>
    <w:p w:rsidR="00142F6D" w:rsidRDefault="00142F6D" w:rsidP="00370C84">
      <w:pPr>
        <w:rPr>
          <w:b/>
        </w:rPr>
      </w:pPr>
    </w:p>
    <w:p w:rsidR="00142F6D" w:rsidRDefault="00142F6D" w:rsidP="00370C84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73544C2C" wp14:editId="03FB334B">
            <wp:extent cx="6858000" cy="3105510"/>
            <wp:effectExtent l="0" t="0" r="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FF0" w:rsidRPr="00815B36" w:rsidRDefault="00C45FF0" w:rsidP="00C45FF0">
      <w:pPr>
        <w:rPr>
          <w:rFonts w:ascii="Arial" w:eastAsia="Times New Roman" w:hAnsi="Arial" w:cs="Arial"/>
          <w:sz w:val="18"/>
          <w:szCs w:val="18"/>
          <w:lang w:eastAsia="es-AR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</w:t>
      </w:r>
      <w:r w:rsidRPr="00C45FF0">
        <w:rPr>
          <w:sz w:val="20"/>
          <w:szCs w:val="20"/>
        </w:rPr>
        <w:t>UIS UNESCO</w:t>
      </w:r>
    </w:p>
    <w:p w:rsidR="00142F6D" w:rsidRDefault="00142F6D" w:rsidP="00370C84">
      <w:pPr>
        <w:rPr>
          <w:b/>
        </w:rPr>
      </w:pPr>
    </w:p>
    <w:p w:rsidR="00142F6D" w:rsidRDefault="00142F6D" w:rsidP="00370C84">
      <w:pPr>
        <w:rPr>
          <w:b/>
        </w:rPr>
      </w:pPr>
    </w:p>
    <w:p w:rsidR="00370C84" w:rsidRDefault="00370C84" w:rsidP="001B07AB">
      <w:pPr>
        <w:rPr>
          <w:b/>
          <w:u w:val="single"/>
        </w:rPr>
      </w:pPr>
    </w:p>
    <w:p w:rsidR="007A6E4E" w:rsidRDefault="007A6E4E" w:rsidP="001B07AB">
      <w:pPr>
        <w:rPr>
          <w:b/>
          <w:u w:val="single"/>
        </w:rPr>
      </w:pPr>
    </w:p>
    <w:p w:rsidR="007A6E4E" w:rsidRDefault="007A6E4E" w:rsidP="001B07AB">
      <w:pPr>
        <w:rPr>
          <w:b/>
          <w:u w:val="single"/>
        </w:rPr>
      </w:pPr>
    </w:p>
    <w:p w:rsidR="007A6E4E" w:rsidRDefault="007A6E4E" w:rsidP="001B07AB">
      <w:pPr>
        <w:rPr>
          <w:b/>
          <w:u w:val="single"/>
        </w:rPr>
      </w:pPr>
    </w:p>
    <w:p w:rsidR="007A6E4E" w:rsidRDefault="007A6E4E" w:rsidP="001B07AB">
      <w:pPr>
        <w:rPr>
          <w:b/>
          <w:u w:val="single"/>
        </w:rPr>
      </w:pPr>
    </w:p>
    <w:p w:rsidR="00D55DD7" w:rsidRPr="00D55DD7" w:rsidRDefault="00985971" w:rsidP="00D55DD7">
      <w:pPr>
        <w:rPr>
          <w:sz w:val="18"/>
          <w:szCs w:val="18"/>
        </w:rPr>
      </w:pPr>
      <w:r w:rsidRPr="00D55DD7">
        <w:rPr>
          <w:sz w:val="18"/>
          <w:szCs w:val="18"/>
        </w:rPr>
        <w:t xml:space="preserve"> </w:t>
      </w:r>
      <w:r w:rsidR="00D55DD7" w:rsidRPr="00D55DD7">
        <w:rPr>
          <w:sz w:val="18"/>
          <w:szCs w:val="18"/>
        </w:rPr>
        <w:t>(I.2.2</w:t>
      </w:r>
      <w:r w:rsidR="00D55DD7">
        <w:rPr>
          <w:sz w:val="18"/>
          <w:szCs w:val="18"/>
        </w:rPr>
        <w:t>2</w:t>
      </w:r>
      <w:r w:rsidR="00D55DD7" w:rsidRPr="00D55DD7">
        <w:rPr>
          <w:sz w:val="18"/>
          <w:szCs w:val="18"/>
        </w:rPr>
        <w:t>)</w:t>
      </w:r>
    </w:p>
    <w:p w:rsidR="00246FCF" w:rsidRDefault="00466553">
      <w:pPr>
        <w:rPr>
          <w:b/>
        </w:rPr>
      </w:pPr>
      <w:r>
        <w:rPr>
          <w:b/>
        </w:rPr>
        <w:t xml:space="preserve">6. </w:t>
      </w:r>
      <w:r w:rsidR="00246FCF" w:rsidRPr="00246FCF">
        <w:rPr>
          <w:b/>
        </w:rPr>
        <w:t>Porcentaje de alumnos en cada nivel de rendimiento en Ciencias - PISA 2012</w:t>
      </w:r>
    </w:p>
    <w:p w:rsidR="00246FCF" w:rsidRDefault="00246FCF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56EB68BC" wp14:editId="201DDFBF">
            <wp:extent cx="5003321" cy="5633049"/>
            <wp:effectExtent l="0" t="0" r="6985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30CF" w:rsidRPr="007F63A2" w:rsidRDefault="003630CF" w:rsidP="003630CF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3630CF" w:rsidRDefault="003630CF">
      <w:pPr>
        <w:rPr>
          <w:b/>
        </w:rPr>
      </w:pPr>
    </w:p>
    <w:p w:rsidR="00246FCF" w:rsidRPr="00466553" w:rsidRDefault="00466553" w:rsidP="00466553">
      <w:pPr>
        <w:rPr>
          <w:b/>
        </w:rPr>
      </w:pPr>
      <w:r w:rsidRPr="00466553">
        <w:rPr>
          <w:b/>
        </w:rPr>
        <w:t>7.</w:t>
      </w:r>
      <w:r>
        <w:rPr>
          <w:b/>
        </w:rPr>
        <w:t xml:space="preserve"> </w:t>
      </w:r>
      <w:r w:rsidR="00246FCF" w:rsidRPr="00466553">
        <w:rPr>
          <w:b/>
        </w:rPr>
        <w:t>Porcentaje de alumnos en cada nivel de rendimiento en Lectura - PISA 2012</w:t>
      </w:r>
    </w:p>
    <w:p w:rsidR="00246FCF" w:rsidRDefault="00246FCF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351D67FF" wp14:editId="442B71A9">
            <wp:extent cx="5477774" cy="5814203"/>
            <wp:effectExtent l="0" t="0" r="889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30CF" w:rsidRPr="007F63A2" w:rsidRDefault="003630CF" w:rsidP="003630CF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3630CF" w:rsidRDefault="003630CF">
      <w:pPr>
        <w:rPr>
          <w:b/>
        </w:rPr>
      </w:pPr>
    </w:p>
    <w:p w:rsidR="00246FCF" w:rsidRDefault="00466553">
      <w:pPr>
        <w:rPr>
          <w:b/>
        </w:rPr>
      </w:pPr>
      <w:r>
        <w:rPr>
          <w:b/>
        </w:rPr>
        <w:t xml:space="preserve">8. </w:t>
      </w:r>
      <w:r w:rsidR="005A61E2">
        <w:rPr>
          <w:b/>
        </w:rPr>
        <w:t>P</w:t>
      </w:r>
      <w:r w:rsidR="00246FCF" w:rsidRPr="00246FCF">
        <w:rPr>
          <w:b/>
        </w:rPr>
        <w:t xml:space="preserve">orcentaje de alumnos en cada nivel de </w:t>
      </w:r>
      <w:r w:rsidR="00246FCF">
        <w:rPr>
          <w:b/>
        </w:rPr>
        <w:t>rendimiento</w:t>
      </w:r>
      <w:r w:rsidR="00246FCF" w:rsidRPr="00246FCF">
        <w:rPr>
          <w:b/>
        </w:rPr>
        <w:t xml:space="preserve"> en Matemática - PISA 2012</w:t>
      </w:r>
      <w:r w:rsidR="003A4DE1">
        <w:rPr>
          <w:noProof/>
          <w:lang w:eastAsia="es-AR"/>
        </w:rPr>
        <w:drawing>
          <wp:inline distT="0" distB="0" distL="0" distR="0" wp14:anchorId="51B439EF" wp14:editId="0A1F61FD">
            <wp:extent cx="4796287" cy="6133381"/>
            <wp:effectExtent l="0" t="0" r="4445" b="127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70CE" w:rsidRPr="007F63A2" w:rsidRDefault="001470CE" w:rsidP="001470CE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7A2530" w:rsidRDefault="007A2530" w:rsidP="007A2530">
      <w:pPr>
        <w:pStyle w:val="Prrafodelista"/>
        <w:rPr>
          <w:b/>
          <w:u w:val="single"/>
        </w:rPr>
      </w:pPr>
    </w:p>
    <w:p w:rsidR="009752DA" w:rsidRPr="001470CE" w:rsidRDefault="004665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9752DA" w:rsidRPr="001470CE">
        <w:rPr>
          <w:b/>
          <w:sz w:val="24"/>
          <w:szCs w:val="24"/>
        </w:rPr>
        <w:t>Puntaje promedio en matemática – Años 2000 a 2012</w:t>
      </w:r>
    </w:p>
    <w:p w:rsidR="009752DA" w:rsidRDefault="009752DA">
      <w:pPr>
        <w:rPr>
          <w:sz w:val="18"/>
          <w:szCs w:val="18"/>
        </w:rPr>
      </w:pPr>
      <w:r w:rsidRPr="009752DA">
        <w:rPr>
          <w:noProof/>
          <w:sz w:val="18"/>
          <w:szCs w:val="18"/>
          <w:lang w:eastAsia="es-AR"/>
        </w:rPr>
        <w:drawing>
          <wp:inline distT="0" distB="0" distL="0" distR="0" wp14:anchorId="4E26AD81" wp14:editId="3CDAFA5E">
            <wp:extent cx="6223379" cy="3657600"/>
            <wp:effectExtent l="0" t="0" r="6350" b="0"/>
            <wp:docPr id="55" name="Grá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52DA" w:rsidRDefault="009752DA">
      <w:pPr>
        <w:rPr>
          <w:sz w:val="18"/>
          <w:szCs w:val="18"/>
        </w:rPr>
      </w:pPr>
    </w:p>
    <w:p w:rsidR="001470CE" w:rsidRPr="007F63A2" w:rsidRDefault="001470CE" w:rsidP="001470CE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</w:t>
      </w:r>
      <w:r>
        <w:rPr>
          <w:sz w:val="20"/>
          <w:szCs w:val="20"/>
        </w:rPr>
        <w:t xml:space="preserve"> 2000, PISA 2006, PISA 2009 y</w:t>
      </w:r>
      <w:r w:rsidRPr="007F63A2">
        <w:rPr>
          <w:sz w:val="20"/>
          <w:szCs w:val="20"/>
        </w:rPr>
        <w:t xml:space="preserve"> 2012.</w:t>
      </w:r>
    </w:p>
    <w:p w:rsidR="009752DA" w:rsidRDefault="009752DA">
      <w:pPr>
        <w:rPr>
          <w:sz w:val="18"/>
          <w:szCs w:val="18"/>
        </w:rPr>
      </w:pPr>
    </w:p>
    <w:p w:rsidR="009752DA" w:rsidRDefault="009752DA">
      <w:pPr>
        <w:rPr>
          <w:sz w:val="18"/>
          <w:szCs w:val="18"/>
        </w:rPr>
      </w:pPr>
    </w:p>
    <w:p w:rsidR="00E200C0" w:rsidRDefault="00E200C0">
      <w:pPr>
        <w:rPr>
          <w:sz w:val="18"/>
          <w:szCs w:val="18"/>
        </w:rPr>
      </w:pPr>
    </w:p>
    <w:p w:rsidR="00E200C0" w:rsidRDefault="00E200C0">
      <w:pPr>
        <w:rPr>
          <w:sz w:val="18"/>
          <w:szCs w:val="18"/>
        </w:rPr>
      </w:pPr>
    </w:p>
    <w:p w:rsidR="009752DA" w:rsidRDefault="009752DA">
      <w:pPr>
        <w:rPr>
          <w:sz w:val="18"/>
          <w:szCs w:val="18"/>
        </w:rPr>
      </w:pPr>
    </w:p>
    <w:p w:rsidR="009752DA" w:rsidRDefault="009752DA">
      <w:pPr>
        <w:rPr>
          <w:sz w:val="18"/>
          <w:szCs w:val="18"/>
        </w:rPr>
      </w:pPr>
    </w:p>
    <w:p w:rsidR="009752DA" w:rsidRDefault="009752DA">
      <w:pPr>
        <w:rPr>
          <w:sz w:val="18"/>
          <w:szCs w:val="18"/>
        </w:rPr>
      </w:pPr>
    </w:p>
    <w:p w:rsidR="003F7520" w:rsidRDefault="00466553" w:rsidP="003F7520">
      <w:pPr>
        <w:spacing w:after="0"/>
        <w:rPr>
          <w:noProof/>
          <w:lang w:eastAsia="es-AR"/>
        </w:rPr>
      </w:pPr>
      <w:r>
        <w:rPr>
          <w:noProof/>
          <w:lang w:eastAsia="es-AR"/>
        </w:rPr>
        <w:lastRenderedPageBreak/>
        <w:t xml:space="preserve">10. </w:t>
      </w:r>
      <w:r w:rsidR="003F7520" w:rsidRPr="003F7520">
        <w:rPr>
          <w:noProof/>
          <w:lang w:eastAsia="es-AR"/>
        </w:rPr>
        <w:t>Porcentaje de alumnos con bajo rendimiento y con mejor rendimiento en lectura en los años 2000 y 2012</w:t>
      </w:r>
    </w:p>
    <w:p w:rsidR="00413586" w:rsidRDefault="003F7520" w:rsidP="003F7520">
      <w:pPr>
        <w:spacing w:after="0"/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A041A15" wp14:editId="5A693E71">
            <wp:extent cx="5612130" cy="539750"/>
            <wp:effectExtent l="0" t="0" r="762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A0D" w:rsidRDefault="00413586">
      <w:pPr>
        <w:rPr>
          <w:b/>
        </w:rPr>
      </w:pPr>
      <w:r w:rsidRPr="00413586">
        <w:rPr>
          <w:noProof/>
          <w:lang w:eastAsia="es-AR"/>
        </w:rPr>
        <w:drawing>
          <wp:inline distT="0" distB="0" distL="0" distR="0" wp14:anchorId="5A01430A" wp14:editId="7D75B809">
            <wp:extent cx="8129080" cy="5581290"/>
            <wp:effectExtent l="0" t="0" r="5715" b="63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139" cy="559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CE" w:rsidRDefault="001470CE">
      <w:pPr>
        <w:rPr>
          <w:b/>
        </w:rPr>
        <w:sectPr w:rsidR="001470CE" w:rsidSect="000A2A0D">
          <w:pgSz w:w="15840" w:h="12240" w:orient="landscape" w:code="1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Fuente: </w:t>
      </w:r>
      <w:r w:rsidRPr="007F63A2">
        <w:rPr>
          <w:sz w:val="20"/>
          <w:szCs w:val="20"/>
        </w:rPr>
        <w:t>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</w:t>
      </w:r>
      <w:r>
        <w:rPr>
          <w:sz w:val="20"/>
          <w:szCs w:val="20"/>
        </w:rPr>
        <w:t xml:space="preserve"> PISA 2012.</w:t>
      </w:r>
    </w:p>
    <w:p w:rsidR="006E629B" w:rsidRDefault="00466553" w:rsidP="0042559A">
      <w:pPr>
        <w:spacing w:after="0"/>
        <w:rPr>
          <w:b/>
        </w:rPr>
      </w:pPr>
      <w:r>
        <w:rPr>
          <w:b/>
        </w:rPr>
        <w:lastRenderedPageBreak/>
        <w:t xml:space="preserve">11. </w:t>
      </w:r>
      <w:r w:rsidR="00D50916" w:rsidRPr="00D50916">
        <w:rPr>
          <w:b/>
        </w:rPr>
        <w:t>Porcentaje de alumnos que reportó no haber llegado tarde a la escuela en las dos semanas previas a la evaluación PISA</w:t>
      </w:r>
    </w:p>
    <w:p w:rsidR="0042559A" w:rsidRPr="0042559A" w:rsidRDefault="0042559A">
      <w:pPr>
        <w:rPr>
          <w:sz w:val="18"/>
          <w:szCs w:val="18"/>
        </w:rPr>
      </w:pPr>
      <w:r>
        <w:rPr>
          <w:sz w:val="18"/>
          <w:szCs w:val="18"/>
        </w:rPr>
        <w:t>(O</w:t>
      </w:r>
      <w:r w:rsidRPr="0042559A">
        <w:rPr>
          <w:sz w:val="18"/>
          <w:szCs w:val="18"/>
        </w:rPr>
        <w:t>rdenado por nivel de variación entre PISA 2000 y PISA 20</w:t>
      </w:r>
      <w:r w:rsidR="00815B36">
        <w:rPr>
          <w:sz w:val="18"/>
          <w:szCs w:val="18"/>
        </w:rPr>
        <w:t>12</w:t>
      </w:r>
      <w:r w:rsidRPr="0042559A">
        <w:rPr>
          <w:sz w:val="18"/>
          <w:szCs w:val="18"/>
        </w:rPr>
        <w:t>)</w:t>
      </w:r>
    </w:p>
    <w:p w:rsidR="006E629B" w:rsidRDefault="00815B36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739FC440" wp14:editId="5338C1B6">
            <wp:extent cx="6521570" cy="3485072"/>
            <wp:effectExtent l="0" t="0" r="0" b="127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629B" w:rsidRPr="007F63A2" w:rsidRDefault="00815B36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 w:rsidR="007F63A2">
        <w:rPr>
          <w:sz w:val="20"/>
          <w:szCs w:val="20"/>
        </w:rPr>
        <w:t>,</w:t>
      </w:r>
      <w:r w:rsidR="007F63A2" w:rsidRPr="007F63A2">
        <w:rPr>
          <w:sz w:val="20"/>
          <w:szCs w:val="20"/>
        </w:rPr>
        <w:t xml:space="preserve"> sobre la base de PISA 2012.</w:t>
      </w:r>
    </w:p>
    <w:p w:rsidR="006E629B" w:rsidRDefault="006E629B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F63A2" w:rsidRDefault="007F63A2">
      <w:pPr>
        <w:rPr>
          <w:b/>
        </w:rPr>
      </w:pPr>
    </w:p>
    <w:p w:rsidR="007A6E4E" w:rsidRDefault="00B00040" w:rsidP="007A6E4E">
      <w:pPr>
        <w:rPr>
          <w:b/>
        </w:rPr>
      </w:pPr>
      <w:r>
        <w:rPr>
          <w:b/>
        </w:rPr>
        <w:t xml:space="preserve">12. </w:t>
      </w:r>
      <w:r w:rsidR="007A6E4E">
        <w:rPr>
          <w:b/>
        </w:rPr>
        <w:t xml:space="preserve">Tasa de </w:t>
      </w:r>
      <w:proofErr w:type="spellStart"/>
      <w:r w:rsidR="007A6E4E">
        <w:rPr>
          <w:b/>
        </w:rPr>
        <w:t>repitencia</w:t>
      </w:r>
      <w:proofErr w:type="spellEnd"/>
      <w:r w:rsidR="007A6E4E">
        <w:rPr>
          <w:b/>
        </w:rPr>
        <w:t xml:space="preserve"> en nivel primario</w:t>
      </w:r>
      <w:r w:rsidR="007A6E4E" w:rsidRPr="00C93E5B">
        <w:rPr>
          <w:b/>
        </w:rPr>
        <w:t xml:space="preserve"> </w:t>
      </w:r>
      <w:r w:rsidR="007A6E4E">
        <w:rPr>
          <w:b/>
        </w:rPr>
        <w:t>–</w:t>
      </w:r>
      <w:r w:rsidR="007A6E4E" w:rsidRPr="00C93E5B">
        <w:rPr>
          <w:b/>
        </w:rPr>
        <w:t xml:space="preserve"> </w:t>
      </w:r>
      <w:r w:rsidR="007A6E4E">
        <w:rPr>
          <w:b/>
        </w:rPr>
        <w:t>Países seleccionados - Años 2000-20</w:t>
      </w:r>
      <w:r w:rsidR="007A6E4E" w:rsidRPr="00C93E5B">
        <w:rPr>
          <w:b/>
        </w:rPr>
        <w:t>12</w:t>
      </w:r>
    </w:p>
    <w:p w:rsidR="00815B36" w:rsidRPr="0042559A" w:rsidRDefault="00815B36" w:rsidP="00815B36">
      <w:pPr>
        <w:rPr>
          <w:sz w:val="18"/>
          <w:szCs w:val="18"/>
        </w:rPr>
      </w:pPr>
      <w:r>
        <w:rPr>
          <w:sz w:val="18"/>
          <w:szCs w:val="18"/>
        </w:rPr>
        <w:t>(O</w:t>
      </w:r>
      <w:r w:rsidRPr="0042559A">
        <w:rPr>
          <w:sz w:val="18"/>
          <w:szCs w:val="18"/>
        </w:rPr>
        <w:t xml:space="preserve">rdenado por nivel de variación entre </w:t>
      </w:r>
      <w:r>
        <w:rPr>
          <w:sz w:val="18"/>
          <w:szCs w:val="18"/>
        </w:rPr>
        <w:t xml:space="preserve">los años </w:t>
      </w:r>
      <w:r w:rsidRPr="0042559A">
        <w:rPr>
          <w:sz w:val="18"/>
          <w:szCs w:val="18"/>
        </w:rPr>
        <w:t>2000 y 2009)</w:t>
      </w:r>
    </w:p>
    <w:p w:rsidR="00815B36" w:rsidRPr="00081C45" w:rsidRDefault="00815B36" w:rsidP="007A6E4E">
      <w:pPr>
        <w:rPr>
          <w:b/>
        </w:rPr>
      </w:pPr>
    </w:p>
    <w:p w:rsidR="007A6E4E" w:rsidRDefault="007A6E4E" w:rsidP="007A6E4E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7615D87D" wp14:editId="3F1F37E2">
            <wp:extent cx="7647709" cy="4607626"/>
            <wp:effectExtent l="0" t="0" r="0" b="254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4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7A6E4E" w:rsidRPr="00815B36" w:rsidTr="009E131D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4E" w:rsidRPr="00C45FF0" w:rsidRDefault="007A6E4E" w:rsidP="009E131D">
            <w:pPr>
              <w:spacing w:after="0" w:line="240" w:lineRule="auto"/>
              <w:ind w:right="-1840"/>
              <w:rPr>
                <w:sz w:val="20"/>
                <w:szCs w:val="20"/>
              </w:rPr>
            </w:pPr>
            <w:r w:rsidRPr="00C45FF0">
              <w:rPr>
                <w:sz w:val="20"/>
                <w:szCs w:val="20"/>
              </w:rPr>
              <w:t>* Año 2010 en lugar de 2012</w:t>
            </w:r>
          </w:p>
        </w:tc>
      </w:tr>
      <w:tr w:rsidR="007A6E4E" w:rsidRPr="00815B36" w:rsidTr="009E131D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4E" w:rsidRPr="00C45FF0" w:rsidRDefault="007A6E4E" w:rsidP="009E131D">
            <w:pPr>
              <w:spacing w:after="0" w:line="240" w:lineRule="auto"/>
              <w:ind w:right="-4816"/>
              <w:rPr>
                <w:sz w:val="20"/>
                <w:szCs w:val="20"/>
              </w:rPr>
            </w:pPr>
            <w:r w:rsidRPr="00C45FF0">
              <w:rPr>
                <w:sz w:val="20"/>
                <w:szCs w:val="20"/>
              </w:rPr>
              <w:t>** Año 2011 en lugar de 2012</w:t>
            </w:r>
          </w:p>
        </w:tc>
      </w:tr>
      <w:tr w:rsidR="007A6E4E" w:rsidRPr="00815B36" w:rsidTr="009E131D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E4E" w:rsidRPr="00C45FF0" w:rsidRDefault="007A6E4E" w:rsidP="009E131D">
            <w:pPr>
              <w:spacing w:after="0" w:line="240" w:lineRule="auto"/>
              <w:rPr>
                <w:sz w:val="20"/>
                <w:szCs w:val="20"/>
              </w:rPr>
            </w:pPr>
            <w:r w:rsidRPr="00C45FF0">
              <w:rPr>
                <w:sz w:val="20"/>
                <w:szCs w:val="20"/>
              </w:rPr>
              <w:t>Nota: Sin datos para Brasil.</w:t>
            </w:r>
          </w:p>
        </w:tc>
      </w:tr>
    </w:tbl>
    <w:p w:rsidR="007A6E4E" w:rsidRDefault="00C45FF0" w:rsidP="00C45FF0">
      <w:pPr>
        <w:rPr>
          <w:sz w:val="18"/>
          <w:szCs w:val="18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</w:t>
      </w:r>
      <w:r w:rsidR="007A6E4E" w:rsidRPr="00C45FF0">
        <w:rPr>
          <w:sz w:val="20"/>
          <w:szCs w:val="20"/>
        </w:rPr>
        <w:t>UIS UNESCO</w:t>
      </w:r>
    </w:p>
    <w:p w:rsidR="007A6E4E" w:rsidRDefault="007A6E4E" w:rsidP="00C35477">
      <w:pPr>
        <w:spacing w:after="0"/>
        <w:rPr>
          <w:sz w:val="18"/>
          <w:szCs w:val="18"/>
        </w:rPr>
      </w:pPr>
    </w:p>
    <w:p w:rsidR="00BF0812" w:rsidRDefault="00BF0812" w:rsidP="00C35477">
      <w:pPr>
        <w:spacing w:after="0"/>
        <w:rPr>
          <w:sz w:val="18"/>
          <w:szCs w:val="18"/>
        </w:rPr>
        <w:sectPr w:rsidR="00BF0812" w:rsidSect="001D2289">
          <w:pgSz w:w="15840" w:h="12240" w:orient="landscape" w:code="1"/>
          <w:pgMar w:top="567" w:right="567" w:bottom="567" w:left="567" w:header="709" w:footer="709" w:gutter="0"/>
          <w:cols w:space="708"/>
          <w:docGrid w:linePitch="360"/>
        </w:sectPr>
      </w:pPr>
    </w:p>
    <w:p w:rsidR="00BF0812" w:rsidRPr="00BF0812" w:rsidRDefault="00BF0812" w:rsidP="00C35477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TablA</w:t>
      </w:r>
      <w:proofErr w:type="spellEnd"/>
      <w:r w:rsidRPr="00BF0812">
        <w:rPr>
          <w:sz w:val="18"/>
          <w:szCs w:val="18"/>
        </w:rPr>
        <w:t xml:space="preserve"> V.4.1</w:t>
      </w:r>
      <w:r>
        <w:rPr>
          <w:sz w:val="18"/>
          <w:szCs w:val="18"/>
        </w:rPr>
        <w:t xml:space="preserve"> (2009)</w:t>
      </w:r>
    </w:p>
    <w:p w:rsidR="00B2359D" w:rsidRPr="00B2359D" w:rsidRDefault="00B00040" w:rsidP="00C35477">
      <w:pPr>
        <w:spacing w:after="0"/>
        <w:rPr>
          <w:b/>
        </w:rPr>
      </w:pPr>
      <w:r>
        <w:rPr>
          <w:b/>
        </w:rPr>
        <w:t xml:space="preserve">13. </w:t>
      </w:r>
      <w:r w:rsidR="00BF0812">
        <w:rPr>
          <w:b/>
        </w:rPr>
        <w:t>Variación del rendimiento en lectura entre escuelas y dentro de las escuelas en PISA 2000 y PISA 2009</w:t>
      </w:r>
    </w:p>
    <w:p w:rsidR="00BF0812" w:rsidRDefault="00BF0812" w:rsidP="00B2359D">
      <w:pPr>
        <w:spacing w:after="0"/>
        <w:rPr>
          <w:sz w:val="18"/>
          <w:szCs w:val="18"/>
        </w:rPr>
      </w:pPr>
    </w:p>
    <w:p w:rsidR="00BF0812" w:rsidRDefault="00BF0812" w:rsidP="00B2359D">
      <w:pPr>
        <w:spacing w:after="0"/>
        <w:rPr>
          <w:sz w:val="18"/>
          <w:szCs w:val="18"/>
        </w:rPr>
      </w:pPr>
    </w:p>
    <w:p w:rsidR="00BF0812" w:rsidRDefault="00BF0812" w:rsidP="00B2359D">
      <w:pPr>
        <w:spacing w:after="0"/>
        <w:rPr>
          <w:sz w:val="18"/>
          <w:szCs w:val="18"/>
        </w:rPr>
      </w:pPr>
      <w:r w:rsidRPr="00BF0812">
        <w:rPr>
          <w:noProof/>
          <w:lang w:eastAsia="es-AR"/>
        </w:rPr>
        <w:drawing>
          <wp:inline distT="0" distB="0" distL="0" distR="0" wp14:anchorId="537BCA69" wp14:editId="4F10FAC1">
            <wp:extent cx="4414360" cy="6012611"/>
            <wp:effectExtent l="0" t="0" r="5715" b="762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11" cy="6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12" w:rsidRDefault="00BF0812" w:rsidP="00B2359D">
      <w:pPr>
        <w:spacing w:after="0"/>
        <w:rPr>
          <w:sz w:val="18"/>
          <w:szCs w:val="18"/>
        </w:rPr>
      </w:pPr>
    </w:p>
    <w:p w:rsidR="00C45FF0" w:rsidRPr="007F63A2" w:rsidRDefault="00C45FF0" w:rsidP="00C45FF0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</w:t>
      </w:r>
      <w:r>
        <w:rPr>
          <w:sz w:val="20"/>
          <w:szCs w:val="20"/>
        </w:rPr>
        <w:t>09</w:t>
      </w:r>
      <w:r w:rsidRPr="007F63A2">
        <w:rPr>
          <w:sz w:val="20"/>
          <w:szCs w:val="20"/>
        </w:rPr>
        <w:t>.</w:t>
      </w:r>
    </w:p>
    <w:p w:rsidR="00BF0812" w:rsidRDefault="00BF0812" w:rsidP="00B2359D">
      <w:pPr>
        <w:spacing w:after="0"/>
        <w:rPr>
          <w:sz w:val="18"/>
          <w:szCs w:val="18"/>
        </w:rPr>
      </w:pPr>
    </w:p>
    <w:p w:rsidR="00BF0812" w:rsidRDefault="00BF0812" w:rsidP="00B2359D">
      <w:pPr>
        <w:spacing w:after="0"/>
        <w:rPr>
          <w:sz w:val="18"/>
          <w:szCs w:val="18"/>
        </w:rPr>
      </w:pPr>
    </w:p>
    <w:p w:rsidR="00BF0812" w:rsidRDefault="00BF0812" w:rsidP="00B2359D">
      <w:pPr>
        <w:spacing w:after="0"/>
        <w:rPr>
          <w:sz w:val="18"/>
          <w:szCs w:val="18"/>
        </w:rPr>
        <w:sectPr w:rsidR="00BF0812" w:rsidSect="00BF0812"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9217CD" w:rsidRDefault="009217CD" w:rsidP="00B2359D">
      <w:pPr>
        <w:spacing w:after="0"/>
        <w:rPr>
          <w:sz w:val="18"/>
          <w:szCs w:val="18"/>
        </w:rPr>
      </w:pPr>
    </w:p>
    <w:p w:rsidR="007A2530" w:rsidRPr="00B00040" w:rsidRDefault="00DF32FB" w:rsidP="00B00040">
      <w:pPr>
        <w:pStyle w:val="Prrafodelista"/>
        <w:keepNext/>
        <w:numPr>
          <w:ilvl w:val="0"/>
          <w:numId w:val="6"/>
        </w:numPr>
        <w:rPr>
          <w:b/>
          <w:u w:val="single"/>
        </w:rPr>
      </w:pPr>
      <w:r w:rsidRPr="00B00040">
        <w:rPr>
          <w:b/>
          <w:u w:val="single"/>
        </w:rPr>
        <w:t xml:space="preserve">Rendimiento y </w:t>
      </w:r>
      <w:r w:rsidR="008914B7" w:rsidRPr="00B00040">
        <w:rPr>
          <w:b/>
          <w:u w:val="single"/>
        </w:rPr>
        <w:t>E</w:t>
      </w:r>
      <w:r w:rsidRPr="00B00040">
        <w:rPr>
          <w:b/>
          <w:u w:val="single"/>
        </w:rPr>
        <w:t>quidad</w:t>
      </w:r>
    </w:p>
    <w:p w:rsidR="00DF32FB" w:rsidRDefault="00C45FF0" w:rsidP="00E511BE">
      <w:pPr>
        <w:pStyle w:val="Prrafodelista"/>
        <w:ind w:left="360"/>
        <w:rPr>
          <w:sz w:val="18"/>
          <w:szCs w:val="18"/>
        </w:rPr>
      </w:pPr>
      <w:r w:rsidRPr="00DF32FB">
        <w:rPr>
          <w:noProof/>
          <w:lang w:eastAsia="es-AR"/>
        </w:rPr>
        <w:drawing>
          <wp:inline distT="0" distB="0" distL="0" distR="0" wp14:anchorId="1CC3F65D" wp14:editId="24CF1665">
            <wp:extent cx="5200250" cy="5805578"/>
            <wp:effectExtent l="0" t="0" r="635" b="508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82" cy="580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530">
        <w:rPr>
          <w:sz w:val="18"/>
          <w:szCs w:val="18"/>
        </w:rPr>
        <w:t xml:space="preserve"> </w:t>
      </w:r>
    </w:p>
    <w:p w:rsidR="00C45FF0" w:rsidRPr="007F63A2" w:rsidRDefault="00C45FF0" w:rsidP="00C45FF0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C45FF0" w:rsidRDefault="00C45FF0" w:rsidP="00E511BE">
      <w:pPr>
        <w:pStyle w:val="Prrafodelista"/>
        <w:ind w:left="360"/>
        <w:rPr>
          <w:b/>
        </w:rPr>
      </w:pPr>
    </w:p>
    <w:p w:rsidR="007A2530" w:rsidRDefault="007A2530" w:rsidP="007A2530">
      <w:pPr>
        <w:pStyle w:val="Prrafodelista"/>
        <w:rPr>
          <w:b/>
          <w:u w:val="single"/>
        </w:rPr>
      </w:pPr>
    </w:p>
    <w:p w:rsidR="007A2530" w:rsidRDefault="007A2530" w:rsidP="007A2530">
      <w:pPr>
        <w:pStyle w:val="Prrafodelista"/>
        <w:rPr>
          <w:b/>
          <w:u w:val="single"/>
        </w:rPr>
      </w:pPr>
    </w:p>
    <w:p w:rsidR="002611E5" w:rsidRDefault="00E511BE" w:rsidP="00B00040">
      <w:pPr>
        <w:pStyle w:val="Prrafodelista"/>
        <w:keepNext/>
        <w:numPr>
          <w:ilvl w:val="0"/>
          <w:numId w:val="6"/>
        </w:numPr>
        <w:rPr>
          <w:b/>
        </w:rPr>
      </w:pPr>
      <w:r>
        <w:rPr>
          <w:b/>
        </w:rPr>
        <w:t>R</w:t>
      </w:r>
      <w:r w:rsidR="002611E5">
        <w:rPr>
          <w:b/>
        </w:rPr>
        <w:t>ESILIENCIA</w:t>
      </w:r>
    </w:p>
    <w:p w:rsidR="007A2530" w:rsidRDefault="007A2530" w:rsidP="004A5C5E">
      <w:pPr>
        <w:pStyle w:val="Prrafodelista"/>
        <w:keepNext/>
        <w:rPr>
          <w:b/>
        </w:rPr>
      </w:pPr>
      <w:r w:rsidRPr="007A2530">
        <w:rPr>
          <w:b/>
        </w:rPr>
        <w:t xml:space="preserve">Porcentaje de estudiantes </w:t>
      </w:r>
      <w:proofErr w:type="spellStart"/>
      <w:r w:rsidRPr="007A2530">
        <w:rPr>
          <w:b/>
        </w:rPr>
        <w:t>resilientes</w:t>
      </w:r>
      <w:proofErr w:type="spellEnd"/>
      <w:r w:rsidRPr="007A2530">
        <w:rPr>
          <w:b/>
        </w:rPr>
        <w:t xml:space="preserve"> - PISA 2012</w:t>
      </w:r>
    </w:p>
    <w:p w:rsidR="007A2530" w:rsidRPr="007A2530" w:rsidRDefault="007A2530" w:rsidP="004A5C5E">
      <w:pPr>
        <w:pStyle w:val="Prrafodelista"/>
        <w:keepNext/>
        <w:ind w:left="360" w:firstLine="348"/>
        <w:rPr>
          <w:b/>
          <w:u w:val="single"/>
        </w:rPr>
      </w:pPr>
      <w:r w:rsidRPr="007A2530">
        <w:rPr>
          <w:sz w:val="18"/>
          <w:szCs w:val="18"/>
        </w:rPr>
        <w:t>(</w:t>
      </w:r>
      <w:r>
        <w:rPr>
          <w:sz w:val="18"/>
          <w:szCs w:val="18"/>
        </w:rPr>
        <w:t>I</w:t>
      </w:r>
      <w:r w:rsidRPr="007A2530">
        <w:rPr>
          <w:sz w:val="18"/>
          <w:szCs w:val="18"/>
        </w:rPr>
        <w:t>I.</w:t>
      </w:r>
      <w:r>
        <w:rPr>
          <w:sz w:val="18"/>
          <w:szCs w:val="18"/>
        </w:rPr>
        <w:t>2.4</w:t>
      </w:r>
      <w:r w:rsidRPr="007A2530">
        <w:rPr>
          <w:sz w:val="18"/>
          <w:szCs w:val="18"/>
        </w:rPr>
        <w:t>)</w:t>
      </w:r>
    </w:p>
    <w:p w:rsidR="007A2530" w:rsidRDefault="007A2530" w:rsidP="004A5C5E">
      <w:pPr>
        <w:pStyle w:val="Prrafodelista"/>
        <w:keepNext/>
        <w:rPr>
          <w:b/>
        </w:rPr>
      </w:pPr>
    </w:p>
    <w:p w:rsidR="007A2530" w:rsidRDefault="007A2530" w:rsidP="007A2530">
      <w:pPr>
        <w:pStyle w:val="Prrafodelista"/>
        <w:rPr>
          <w:b/>
        </w:rPr>
      </w:pPr>
      <w:r>
        <w:rPr>
          <w:noProof/>
          <w:lang w:eastAsia="es-AR"/>
        </w:rPr>
        <w:drawing>
          <wp:inline distT="0" distB="0" distL="0" distR="0" wp14:anchorId="61149F83" wp14:editId="6F383C2E">
            <wp:extent cx="8091578" cy="4537495"/>
            <wp:effectExtent l="0" t="0" r="5080" b="0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45FF0" w:rsidRPr="007F63A2" w:rsidRDefault="00C45FF0" w:rsidP="00C45FF0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C45FF0" w:rsidRDefault="00C45FF0" w:rsidP="007A2530">
      <w:pPr>
        <w:pStyle w:val="Prrafodelista"/>
        <w:rPr>
          <w:b/>
        </w:rPr>
        <w:sectPr w:rsidR="00C45FF0" w:rsidSect="001D2289">
          <w:pgSz w:w="15840" w:h="12240" w:orient="landscape" w:code="1"/>
          <w:pgMar w:top="567" w:right="567" w:bottom="567" w:left="567" w:header="709" w:footer="709" w:gutter="0"/>
          <w:cols w:space="708"/>
          <w:docGrid w:linePitch="360"/>
        </w:sectPr>
      </w:pPr>
    </w:p>
    <w:p w:rsidR="007A2530" w:rsidRPr="007A2530" w:rsidRDefault="007A2530" w:rsidP="007A2530">
      <w:pPr>
        <w:pStyle w:val="Prrafodelista"/>
        <w:rPr>
          <w:b/>
        </w:rPr>
      </w:pPr>
    </w:p>
    <w:p w:rsidR="00E327B2" w:rsidRPr="00B00040" w:rsidRDefault="002611E5" w:rsidP="00B00040">
      <w:pPr>
        <w:pStyle w:val="Prrafodelista"/>
        <w:keepNext/>
        <w:numPr>
          <w:ilvl w:val="0"/>
          <w:numId w:val="7"/>
        </w:numPr>
        <w:rPr>
          <w:b/>
        </w:rPr>
      </w:pPr>
      <w:r w:rsidRPr="00B00040">
        <w:rPr>
          <w:b/>
        </w:rPr>
        <w:t>Resultado por nivel socioeconómico</w:t>
      </w:r>
    </w:p>
    <w:p w:rsidR="002611E5" w:rsidRPr="002611E5" w:rsidRDefault="002611E5" w:rsidP="004A5C5E">
      <w:pPr>
        <w:pStyle w:val="Prrafodelista"/>
        <w:keepNext/>
        <w:rPr>
          <w:b/>
        </w:rPr>
      </w:pPr>
      <w:r w:rsidRPr="002611E5">
        <w:rPr>
          <w:b/>
        </w:rPr>
        <w:t xml:space="preserve">Rendimiento medio en matemática, por cuartiles de nivel </w:t>
      </w:r>
      <w:r>
        <w:rPr>
          <w:b/>
        </w:rPr>
        <w:t>socioeconómico</w:t>
      </w:r>
      <w:r w:rsidRPr="002611E5">
        <w:rPr>
          <w:b/>
        </w:rPr>
        <w:t xml:space="preserve"> nacionales</w:t>
      </w:r>
    </w:p>
    <w:p w:rsidR="002611E5" w:rsidRPr="002611E5" w:rsidRDefault="002611E5" w:rsidP="002611E5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30BC45C4" wp14:editId="41CD49E4">
            <wp:extent cx="8572500" cy="5257800"/>
            <wp:effectExtent l="0" t="0" r="0" b="19050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327B2" w:rsidRDefault="00E327B2" w:rsidP="00D55DD7">
      <w:pPr>
        <w:rPr>
          <w:b/>
        </w:rPr>
      </w:pPr>
    </w:p>
    <w:p w:rsidR="00E327B2" w:rsidRDefault="00E327B2" w:rsidP="00D55DD7">
      <w:pPr>
        <w:rPr>
          <w:b/>
        </w:rPr>
      </w:pPr>
    </w:p>
    <w:p w:rsidR="00756C3D" w:rsidRPr="007F63A2" w:rsidRDefault="00756C3D" w:rsidP="00756C3D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7A2530" w:rsidRDefault="007A2530" w:rsidP="00D55DD7">
      <w:pPr>
        <w:rPr>
          <w:b/>
        </w:rPr>
        <w:sectPr w:rsidR="007A2530" w:rsidSect="00E53055">
          <w:pgSz w:w="15840" w:h="12240" w:orient="landscape" w:code="1"/>
          <w:pgMar w:top="567" w:right="567" w:bottom="567" w:left="567" w:header="709" w:footer="709" w:gutter="0"/>
          <w:cols w:space="708"/>
          <w:docGrid w:linePitch="360"/>
        </w:sectPr>
      </w:pPr>
    </w:p>
    <w:p w:rsidR="00897BBD" w:rsidRDefault="00897BBD" w:rsidP="00D55DD7">
      <w:pPr>
        <w:rPr>
          <w:b/>
        </w:rPr>
      </w:pPr>
    </w:p>
    <w:p w:rsidR="00897BBD" w:rsidRPr="00B00040" w:rsidRDefault="00897BBD" w:rsidP="00B00040">
      <w:pPr>
        <w:pStyle w:val="Prrafodelista"/>
        <w:numPr>
          <w:ilvl w:val="0"/>
          <w:numId w:val="7"/>
        </w:numPr>
        <w:tabs>
          <w:tab w:val="left" w:pos="6900"/>
        </w:tabs>
        <w:rPr>
          <w:b/>
          <w:u w:val="single"/>
        </w:rPr>
      </w:pPr>
      <w:r w:rsidRPr="00B00040">
        <w:rPr>
          <w:b/>
          <w:u w:val="single"/>
        </w:rPr>
        <w:t>Cualificación docente</w:t>
      </w:r>
    </w:p>
    <w:p w:rsidR="00897BBD" w:rsidRDefault="00897BBD" w:rsidP="00897BBD">
      <w:pPr>
        <w:pStyle w:val="Prrafodelista"/>
        <w:tabs>
          <w:tab w:val="left" w:pos="6900"/>
        </w:tabs>
        <w:rPr>
          <w:b/>
          <w:u w:val="single"/>
        </w:rPr>
      </w:pPr>
    </w:p>
    <w:p w:rsidR="00897BBD" w:rsidRDefault="00897BBD" w:rsidP="00897BBD">
      <w:pPr>
        <w:pStyle w:val="Prrafodelista"/>
        <w:tabs>
          <w:tab w:val="left" w:pos="6900"/>
        </w:tabs>
        <w:rPr>
          <w:b/>
          <w:u w:val="single"/>
        </w:rPr>
      </w:pPr>
      <w:r>
        <w:rPr>
          <w:sz w:val="18"/>
          <w:szCs w:val="18"/>
        </w:rPr>
        <w:t>(I</w:t>
      </w:r>
      <w:r w:rsidRPr="007A2530">
        <w:rPr>
          <w:sz w:val="18"/>
          <w:szCs w:val="18"/>
        </w:rPr>
        <w:t>I.</w:t>
      </w:r>
      <w:r>
        <w:rPr>
          <w:sz w:val="18"/>
          <w:szCs w:val="18"/>
        </w:rPr>
        <w:t>4.6)</w:t>
      </w:r>
    </w:p>
    <w:p w:rsidR="00897BBD" w:rsidRPr="00897BBD" w:rsidRDefault="00897BBD" w:rsidP="00897BBD">
      <w:pPr>
        <w:pStyle w:val="Prrafodelista"/>
        <w:tabs>
          <w:tab w:val="left" w:pos="6900"/>
        </w:tabs>
        <w:rPr>
          <w:b/>
        </w:rPr>
      </w:pPr>
      <w:r w:rsidRPr="00897BBD">
        <w:rPr>
          <w:b/>
        </w:rPr>
        <w:t>Proporción de profesores con título universitario</w:t>
      </w:r>
      <w:r w:rsidR="00756C3D">
        <w:rPr>
          <w:b/>
        </w:rPr>
        <w:t xml:space="preserve"> – PISA </w:t>
      </w:r>
    </w:p>
    <w:p w:rsidR="00756C3D" w:rsidRDefault="00897BBD" w:rsidP="00897BBD">
      <w:pPr>
        <w:tabs>
          <w:tab w:val="left" w:pos="6900"/>
        </w:tabs>
      </w:pPr>
      <w:r>
        <w:rPr>
          <w:noProof/>
          <w:lang w:eastAsia="es-AR"/>
        </w:rPr>
        <w:drawing>
          <wp:inline distT="0" distB="0" distL="0" distR="0" wp14:anchorId="74864B55" wp14:editId="5F04E800">
            <wp:extent cx="6515100" cy="4591050"/>
            <wp:effectExtent l="0" t="0" r="19050" b="1905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56C3D" w:rsidRPr="007F63A2" w:rsidRDefault="00756C3D" w:rsidP="00756C3D">
      <w:pPr>
        <w:rPr>
          <w:sz w:val="20"/>
          <w:szCs w:val="20"/>
        </w:rPr>
      </w:pPr>
      <w:r>
        <w:tab/>
      </w: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756C3D" w:rsidRDefault="00756C3D" w:rsidP="00756C3D">
      <w:pPr>
        <w:tabs>
          <w:tab w:val="left" w:pos="951"/>
        </w:tabs>
      </w:pPr>
    </w:p>
    <w:p w:rsidR="00756C3D" w:rsidRDefault="00756C3D" w:rsidP="00756C3D"/>
    <w:p w:rsidR="00897BBD" w:rsidRPr="00756C3D" w:rsidRDefault="00897BBD" w:rsidP="00756C3D">
      <w:pPr>
        <w:sectPr w:rsidR="00897BBD" w:rsidRPr="00756C3D" w:rsidSect="000A2A0D"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0A4CAB" w:rsidRPr="00B00040" w:rsidRDefault="000A4CAB" w:rsidP="00B00040">
      <w:pPr>
        <w:pStyle w:val="Prrafodelista"/>
        <w:numPr>
          <w:ilvl w:val="0"/>
          <w:numId w:val="7"/>
        </w:numPr>
        <w:tabs>
          <w:tab w:val="left" w:pos="6900"/>
        </w:tabs>
        <w:rPr>
          <w:b/>
          <w:u w:val="single"/>
        </w:rPr>
      </w:pPr>
      <w:r w:rsidRPr="00B00040">
        <w:rPr>
          <w:b/>
        </w:rPr>
        <w:lastRenderedPageBreak/>
        <w:t xml:space="preserve">Porcentaje de estudiantes </w:t>
      </w:r>
      <w:r w:rsidR="00756C3D" w:rsidRPr="00B00040">
        <w:rPr>
          <w:b/>
        </w:rPr>
        <w:t>que dicen sentirse felices en la</w:t>
      </w:r>
      <w:r w:rsidRPr="00B00040">
        <w:rPr>
          <w:b/>
        </w:rPr>
        <w:t xml:space="preserve"> escuela</w:t>
      </w:r>
      <w:r w:rsidR="00756C3D" w:rsidRPr="00B00040">
        <w:rPr>
          <w:b/>
        </w:rPr>
        <w:t xml:space="preserve"> – PISA 2012</w:t>
      </w:r>
    </w:p>
    <w:p w:rsidR="00897BBD" w:rsidRDefault="000A4CAB" w:rsidP="00897BBD">
      <w:pPr>
        <w:tabs>
          <w:tab w:val="left" w:pos="6900"/>
        </w:tabs>
      </w:pPr>
      <w:r>
        <w:rPr>
          <w:noProof/>
          <w:lang w:eastAsia="es-AR"/>
        </w:rPr>
        <w:drawing>
          <wp:inline distT="0" distB="0" distL="0" distR="0" wp14:anchorId="5A452609" wp14:editId="29D0FF89">
            <wp:extent cx="5417342" cy="5973366"/>
            <wp:effectExtent l="0" t="0" r="0" b="889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56C3D" w:rsidRPr="007F63A2" w:rsidRDefault="00756C3D" w:rsidP="00756C3D">
      <w:pPr>
        <w:rPr>
          <w:sz w:val="20"/>
          <w:szCs w:val="20"/>
        </w:rPr>
      </w:pPr>
      <w:r>
        <w:tab/>
      </w: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897BBD" w:rsidRDefault="00897BBD" w:rsidP="00897BBD">
      <w:pPr>
        <w:tabs>
          <w:tab w:val="left" w:pos="6900"/>
        </w:tabs>
      </w:pPr>
    </w:p>
    <w:p w:rsidR="00897BBD" w:rsidRDefault="00897BBD" w:rsidP="00897BBD">
      <w:pPr>
        <w:tabs>
          <w:tab w:val="left" w:pos="6900"/>
        </w:tabs>
      </w:pPr>
    </w:p>
    <w:p w:rsidR="00756C3D" w:rsidRDefault="00756C3D" w:rsidP="00897BBD">
      <w:pPr>
        <w:tabs>
          <w:tab w:val="left" w:pos="6900"/>
        </w:tabs>
      </w:pPr>
    </w:p>
    <w:p w:rsidR="00756C3D" w:rsidRDefault="00756C3D" w:rsidP="00897BBD">
      <w:pPr>
        <w:tabs>
          <w:tab w:val="left" w:pos="6900"/>
        </w:tabs>
      </w:pPr>
    </w:p>
    <w:p w:rsidR="00897BBD" w:rsidRDefault="00897BBD" w:rsidP="00897BBD">
      <w:pPr>
        <w:tabs>
          <w:tab w:val="left" w:pos="6900"/>
        </w:tabs>
      </w:pPr>
    </w:p>
    <w:p w:rsidR="00897BBD" w:rsidRDefault="00897BBD" w:rsidP="00897BBD">
      <w:pPr>
        <w:tabs>
          <w:tab w:val="left" w:pos="6900"/>
        </w:tabs>
      </w:pPr>
    </w:p>
    <w:p w:rsidR="00897BBD" w:rsidRDefault="00897BBD" w:rsidP="00897BBD">
      <w:pPr>
        <w:tabs>
          <w:tab w:val="left" w:pos="6900"/>
        </w:tabs>
      </w:pPr>
    </w:p>
    <w:p w:rsidR="00897BBD" w:rsidRDefault="00897BBD" w:rsidP="00897BBD">
      <w:pPr>
        <w:tabs>
          <w:tab w:val="left" w:pos="6900"/>
        </w:tabs>
      </w:pPr>
    </w:p>
    <w:p w:rsidR="005D7463" w:rsidRDefault="005D7463" w:rsidP="00897BBD">
      <w:pPr>
        <w:tabs>
          <w:tab w:val="left" w:pos="6900"/>
        </w:tabs>
      </w:pPr>
    </w:p>
    <w:p w:rsidR="005D7463" w:rsidRDefault="005D7463" w:rsidP="00897BBD">
      <w:pPr>
        <w:tabs>
          <w:tab w:val="left" w:pos="6900"/>
        </w:tabs>
      </w:pPr>
    </w:p>
    <w:p w:rsidR="00C85BF4" w:rsidRPr="00B00040" w:rsidRDefault="00B02677" w:rsidP="00B00040">
      <w:pPr>
        <w:pStyle w:val="Prrafodelista"/>
        <w:numPr>
          <w:ilvl w:val="0"/>
          <w:numId w:val="7"/>
        </w:numPr>
        <w:tabs>
          <w:tab w:val="left" w:pos="6900"/>
        </w:tabs>
        <w:spacing w:after="0" w:line="240" w:lineRule="auto"/>
        <w:rPr>
          <w:b/>
        </w:rPr>
      </w:pPr>
      <w:r w:rsidRPr="00B00040">
        <w:rPr>
          <w:b/>
        </w:rPr>
        <w:t>Uso de información de logros para la rendición de cuentas</w:t>
      </w:r>
    </w:p>
    <w:p w:rsidR="00B02677" w:rsidRDefault="00B02677" w:rsidP="00B02677">
      <w:pPr>
        <w:tabs>
          <w:tab w:val="left" w:pos="6900"/>
        </w:tabs>
        <w:spacing w:after="0" w:line="240" w:lineRule="auto"/>
        <w:rPr>
          <w:b/>
        </w:rPr>
      </w:pPr>
      <w:r w:rsidRPr="00B02677">
        <w:rPr>
          <w:b/>
        </w:rPr>
        <w:t>Porcentaje de estudiantes en escuelas que u</w:t>
      </w:r>
      <w:r>
        <w:rPr>
          <w:b/>
        </w:rPr>
        <w:t>san información de logros de la</w:t>
      </w:r>
      <w:r w:rsidRPr="00B02677">
        <w:rPr>
          <w:b/>
        </w:rPr>
        <w:t xml:space="preserve"> siguiente manera:</w:t>
      </w:r>
    </w:p>
    <w:p w:rsidR="005D7463" w:rsidRDefault="00B02677" w:rsidP="00897BBD">
      <w:pPr>
        <w:tabs>
          <w:tab w:val="left" w:pos="6900"/>
        </w:tabs>
      </w:pPr>
      <w:r w:rsidRPr="00B02677">
        <w:rPr>
          <w:noProof/>
          <w:lang w:eastAsia="es-AR"/>
        </w:rPr>
        <w:drawing>
          <wp:inline distT="0" distB="0" distL="0" distR="0" wp14:anchorId="51E8038F" wp14:editId="4CDD6827">
            <wp:extent cx="9338310" cy="4349743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310" cy="434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63" w:rsidRDefault="005D7463" w:rsidP="00897BBD">
      <w:pPr>
        <w:tabs>
          <w:tab w:val="left" w:pos="6900"/>
        </w:tabs>
      </w:pPr>
    </w:p>
    <w:p w:rsidR="00756C3D" w:rsidRPr="007F63A2" w:rsidRDefault="00756C3D" w:rsidP="00756C3D">
      <w:pPr>
        <w:rPr>
          <w:sz w:val="20"/>
          <w:szCs w:val="20"/>
        </w:rPr>
      </w:pPr>
      <w:r>
        <w:tab/>
      </w: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5D7463" w:rsidRDefault="005D7463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5A61E2" w:rsidRDefault="005A61E2" w:rsidP="00897BBD">
      <w:pPr>
        <w:tabs>
          <w:tab w:val="left" w:pos="6900"/>
        </w:tabs>
      </w:pPr>
    </w:p>
    <w:p w:rsidR="000A4CAB" w:rsidRPr="00F273A5" w:rsidRDefault="00F273A5" w:rsidP="00B00040">
      <w:pPr>
        <w:pStyle w:val="Prrafodelista"/>
        <w:numPr>
          <w:ilvl w:val="0"/>
          <w:numId w:val="7"/>
        </w:numPr>
        <w:tabs>
          <w:tab w:val="left" w:pos="6900"/>
        </w:tabs>
        <w:rPr>
          <w:b/>
          <w:u w:val="single"/>
        </w:rPr>
      </w:pPr>
      <w:r w:rsidRPr="00F273A5">
        <w:rPr>
          <w:b/>
          <w:u w:val="single"/>
        </w:rPr>
        <w:lastRenderedPageBreak/>
        <w:t>Diferencia escuelas públicas y privadas</w:t>
      </w:r>
    </w:p>
    <w:p w:rsidR="00F273A5" w:rsidRPr="00F273A5" w:rsidRDefault="00F273A5" w:rsidP="00F273A5">
      <w:pPr>
        <w:pStyle w:val="Prrafodelista"/>
        <w:tabs>
          <w:tab w:val="left" w:pos="6900"/>
        </w:tabs>
        <w:rPr>
          <w:b/>
          <w:u w:val="single"/>
        </w:rPr>
      </w:pPr>
      <w:r w:rsidRPr="00F273A5">
        <w:rPr>
          <w:sz w:val="18"/>
          <w:szCs w:val="18"/>
        </w:rPr>
        <w:t>(I</w:t>
      </w:r>
      <w:r>
        <w:rPr>
          <w:sz w:val="18"/>
          <w:szCs w:val="18"/>
        </w:rPr>
        <w:t>V</w:t>
      </w:r>
      <w:r w:rsidRPr="00F273A5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Pr="00F273A5">
        <w:rPr>
          <w:sz w:val="18"/>
          <w:szCs w:val="18"/>
        </w:rPr>
        <w:t>.</w:t>
      </w:r>
      <w:r>
        <w:rPr>
          <w:sz w:val="18"/>
          <w:szCs w:val="18"/>
        </w:rPr>
        <w:t>19</w:t>
      </w:r>
      <w:r w:rsidRPr="00F273A5">
        <w:rPr>
          <w:sz w:val="18"/>
          <w:szCs w:val="18"/>
        </w:rPr>
        <w:t>)</w:t>
      </w:r>
    </w:p>
    <w:p w:rsidR="000A4CAB" w:rsidRDefault="000A4CAB" w:rsidP="00897BBD">
      <w:pPr>
        <w:tabs>
          <w:tab w:val="left" w:pos="6900"/>
        </w:tabs>
      </w:pPr>
    </w:p>
    <w:p w:rsidR="00897BBD" w:rsidRDefault="00C85BF4" w:rsidP="00897BBD">
      <w:pPr>
        <w:tabs>
          <w:tab w:val="left" w:pos="6900"/>
        </w:tabs>
      </w:pPr>
      <w:r w:rsidRPr="00C85BF4">
        <w:rPr>
          <w:noProof/>
          <w:lang w:eastAsia="es-AR"/>
        </w:rPr>
        <w:drawing>
          <wp:inline distT="0" distB="0" distL="0" distR="0" wp14:anchorId="0582A539" wp14:editId="00093F99">
            <wp:extent cx="4667250" cy="7827818"/>
            <wp:effectExtent l="0" t="0" r="0" b="1905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8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3D" w:rsidRPr="007F63A2" w:rsidRDefault="00756C3D" w:rsidP="00756C3D">
      <w:pPr>
        <w:rPr>
          <w:sz w:val="20"/>
          <w:szCs w:val="20"/>
        </w:rPr>
      </w:pPr>
      <w:r>
        <w:tab/>
      </w: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897BBD" w:rsidRDefault="00897BBD" w:rsidP="00897BBD">
      <w:pPr>
        <w:tabs>
          <w:tab w:val="left" w:pos="6900"/>
        </w:tabs>
      </w:pPr>
    </w:p>
    <w:p w:rsidR="004773F3" w:rsidRPr="00466553" w:rsidRDefault="004773F3" w:rsidP="00466553">
      <w:pPr>
        <w:pStyle w:val="Prrafodelista"/>
        <w:numPr>
          <w:ilvl w:val="0"/>
          <w:numId w:val="7"/>
        </w:numPr>
        <w:tabs>
          <w:tab w:val="left" w:pos="6900"/>
        </w:tabs>
        <w:rPr>
          <w:b/>
          <w:u w:val="single"/>
        </w:rPr>
      </w:pPr>
      <w:r w:rsidRPr="00466553">
        <w:rPr>
          <w:b/>
        </w:rPr>
        <w:lastRenderedPageBreak/>
        <w:t>Selección y tipo de programas</w:t>
      </w:r>
    </w:p>
    <w:p w:rsidR="00501E00" w:rsidRDefault="004773F3" w:rsidP="00F4751B">
      <w:pPr>
        <w:tabs>
          <w:tab w:val="left" w:pos="6900"/>
        </w:tabs>
        <w:spacing w:line="240" w:lineRule="auto"/>
        <w:rPr>
          <w:i/>
        </w:rPr>
      </w:pPr>
      <w:r w:rsidRPr="004773F3">
        <w:rPr>
          <w:noProof/>
          <w:lang w:eastAsia="es-AR"/>
        </w:rPr>
        <w:drawing>
          <wp:inline distT="0" distB="0" distL="0" distR="0" wp14:anchorId="578C800F" wp14:editId="44199AC9">
            <wp:extent cx="4617306" cy="7874759"/>
            <wp:effectExtent l="0" t="0" r="0" b="0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701" cy="78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71" w:rsidRDefault="00A45E71" w:rsidP="00F4751B">
      <w:pPr>
        <w:tabs>
          <w:tab w:val="left" w:pos="6900"/>
        </w:tabs>
        <w:spacing w:line="240" w:lineRule="auto"/>
        <w:rPr>
          <w:i/>
        </w:rPr>
      </w:pPr>
    </w:p>
    <w:p w:rsidR="00A45E71" w:rsidRPr="007F63A2" w:rsidRDefault="00A45E71" w:rsidP="00A45E71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A45E71" w:rsidRDefault="00A45E71" w:rsidP="00F4751B">
      <w:pPr>
        <w:tabs>
          <w:tab w:val="left" w:pos="6900"/>
        </w:tabs>
        <w:spacing w:line="240" w:lineRule="auto"/>
        <w:rPr>
          <w:i/>
        </w:rPr>
        <w:sectPr w:rsidR="00A45E71" w:rsidSect="000A2A0D"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530123" w:rsidRDefault="00530123" w:rsidP="00F4751B">
      <w:pPr>
        <w:tabs>
          <w:tab w:val="left" w:pos="6900"/>
        </w:tabs>
        <w:spacing w:line="240" w:lineRule="auto"/>
        <w:rPr>
          <w:sz w:val="18"/>
          <w:szCs w:val="18"/>
        </w:rPr>
      </w:pPr>
      <w:r w:rsidRPr="00F273A5">
        <w:rPr>
          <w:sz w:val="18"/>
          <w:szCs w:val="18"/>
        </w:rPr>
        <w:lastRenderedPageBreak/>
        <w:t>(I</w:t>
      </w:r>
      <w:r>
        <w:rPr>
          <w:sz w:val="18"/>
          <w:szCs w:val="18"/>
        </w:rPr>
        <w:t>V</w:t>
      </w:r>
      <w:r w:rsidRPr="00F273A5">
        <w:rPr>
          <w:sz w:val="18"/>
          <w:szCs w:val="18"/>
        </w:rPr>
        <w:t>.</w:t>
      </w:r>
      <w:r>
        <w:rPr>
          <w:sz w:val="18"/>
          <w:szCs w:val="18"/>
        </w:rPr>
        <w:t>3.8</w:t>
      </w:r>
      <w:r w:rsidRPr="00F273A5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F4751B" w:rsidRPr="00466553" w:rsidRDefault="00530123" w:rsidP="00466553">
      <w:pPr>
        <w:pStyle w:val="Prrafodelista"/>
        <w:numPr>
          <w:ilvl w:val="0"/>
          <w:numId w:val="7"/>
        </w:numPr>
        <w:tabs>
          <w:tab w:val="left" w:pos="6900"/>
        </w:tabs>
        <w:spacing w:line="240" w:lineRule="auto"/>
        <w:rPr>
          <w:b/>
        </w:rPr>
      </w:pPr>
      <w:r w:rsidRPr="00466553">
        <w:rPr>
          <w:b/>
        </w:rPr>
        <w:t>Visión de los directores sobre si los recursos educativos son adecuados</w:t>
      </w:r>
    </w:p>
    <w:p w:rsidR="00197F5E" w:rsidRDefault="00530123" w:rsidP="00F4751B">
      <w:pPr>
        <w:tabs>
          <w:tab w:val="left" w:pos="6900"/>
        </w:tabs>
        <w:spacing w:line="240" w:lineRule="auto"/>
        <w:rPr>
          <w:i/>
        </w:rPr>
      </w:pPr>
      <w:r w:rsidRPr="00530123">
        <w:rPr>
          <w:i/>
        </w:rPr>
        <w:t>Porcentaje de estudiantes en escuelas en donde el director reportó que los siguientes fenómenos no dificultan los aprendizajes de los estudiantes "para nada" o "sólo muy poco"</w:t>
      </w:r>
      <w:r w:rsidRPr="00530123">
        <w:rPr>
          <w:noProof/>
          <w:lang w:eastAsia="es-AR"/>
        </w:rPr>
        <w:drawing>
          <wp:inline distT="0" distB="0" distL="0" distR="0" wp14:anchorId="13D52588" wp14:editId="730D82E2">
            <wp:extent cx="8783063" cy="5613282"/>
            <wp:effectExtent l="0" t="0" r="0" b="6985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48" cy="56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71" w:rsidRPr="007F63A2" w:rsidRDefault="00A45E71" w:rsidP="00A45E71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A45E71" w:rsidRDefault="00A45E71" w:rsidP="00F4751B">
      <w:pPr>
        <w:tabs>
          <w:tab w:val="left" w:pos="6900"/>
        </w:tabs>
        <w:spacing w:line="240" w:lineRule="auto"/>
        <w:rPr>
          <w:i/>
        </w:rPr>
        <w:sectPr w:rsidR="00A45E71" w:rsidSect="00911484">
          <w:pgSz w:w="15840" w:h="12240" w:orient="landscape" w:code="1"/>
          <w:pgMar w:top="567" w:right="567" w:bottom="567" w:left="567" w:header="709" w:footer="709" w:gutter="0"/>
          <w:cols w:space="708"/>
          <w:docGrid w:linePitch="360"/>
        </w:sectPr>
      </w:pPr>
    </w:p>
    <w:p w:rsidR="00501E00" w:rsidRDefault="00501E00" w:rsidP="00F4751B">
      <w:pPr>
        <w:tabs>
          <w:tab w:val="left" w:pos="6900"/>
        </w:tabs>
        <w:spacing w:line="240" w:lineRule="auto"/>
        <w:rPr>
          <w:i/>
        </w:rPr>
      </w:pPr>
    </w:p>
    <w:p w:rsidR="001968AD" w:rsidRDefault="001968AD" w:rsidP="001968AD">
      <w:pPr>
        <w:tabs>
          <w:tab w:val="left" w:pos="6900"/>
        </w:tabs>
        <w:spacing w:line="240" w:lineRule="auto"/>
        <w:rPr>
          <w:sz w:val="18"/>
          <w:szCs w:val="18"/>
        </w:rPr>
      </w:pPr>
      <w:r w:rsidRPr="00F273A5">
        <w:rPr>
          <w:sz w:val="18"/>
          <w:szCs w:val="18"/>
        </w:rPr>
        <w:t>(I</w:t>
      </w:r>
      <w:r>
        <w:rPr>
          <w:sz w:val="18"/>
          <w:szCs w:val="18"/>
        </w:rPr>
        <w:t>V</w:t>
      </w:r>
      <w:r w:rsidRPr="00F273A5">
        <w:rPr>
          <w:sz w:val="18"/>
          <w:szCs w:val="18"/>
        </w:rPr>
        <w:t>.</w:t>
      </w:r>
      <w:r>
        <w:rPr>
          <w:sz w:val="18"/>
          <w:szCs w:val="18"/>
        </w:rPr>
        <w:t>3.8</w:t>
      </w:r>
      <w:r w:rsidRPr="00F273A5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1968AD" w:rsidRDefault="001968AD" w:rsidP="00F4751B">
      <w:pPr>
        <w:tabs>
          <w:tab w:val="left" w:pos="6900"/>
        </w:tabs>
        <w:spacing w:line="240" w:lineRule="auto"/>
        <w:rPr>
          <w:b/>
        </w:rPr>
      </w:pPr>
      <w:r w:rsidRPr="001968AD">
        <w:rPr>
          <w:b/>
        </w:rPr>
        <w:t>Actividades extracurriculares creativas en la escuela</w:t>
      </w:r>
    </w:p>
    <w:p w:rsidR="001968AD" w:rsidRDefault="001968AD" w:rsidP="00F4751B">
      <w:pPr>
        <w:tabs>
          <w:tab w:val="left" w:pos="6900"/>
        </w:tabs>
        <w:spacing w:line="240" w:lineRule="auto"/>
        <w:rPr>
          <w:b/>
        </w:rPr>
      </w:pPr>
      <w:r w:rsidRPr="001968AD">
        <w:rPr>
          <w:b/>
        </w:rPr>
        <w:t>Porcentaje de estudiantes en escuelas cuyos directores reportaron que las siguientes actividades se ofrecen en la escuela</w:t>
      </w:r>
    </w:p>
    <w:tbl>
      <w:tblPr>
        <w:tblW w:w="10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2074"/>
        <w:gridCol w:w="2074"/>
        <w:gridCol w:w="2074"/>
        <w:gridCol w:w="2074"/>
      </w:tblGrid>
      <w:tr w:rsidR="001968AD" w:rsidRPr="001968AD" w:rsidTr="00645E2C">
        <w:trPr>
          <w:trHeight w:val="86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Banda, orquesta o coro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Obra o musical de la escuela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Actividades artísticas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Competiciones de matemática</w:t>
            </w:r>
          </w:p>
        </w:tc>
      </w:tr>
      <w:tr w:rsidR="001968AD" w:rsidRPr="001968AD" w:rsidTr="002B1B30">
        <w:trPr>
          <w:trHeight w:val="80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Países anglosajones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93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84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83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72</w:t>
            </w:r>
          </w:p>
        </w:tc>
      </w:tr>
      <w:tr w:rsidR="001968AD" w:rsidRPr="001968AD" w:rsidTr="002B1B30">
        <w:trPr>
          <w:trHeight w:val="866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Asia Pacífico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84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65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92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87</w:t>
            </w:r>
          </w:p>
        </w:tc>
      </w:tr>
      <w:tr w:rsidR="001968AD" w:rsidRPr="001968AD" w:rsidTr="002B1B30">
        <w:trPr>
          <w:trHeight w:val="866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Europa Oriental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70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80</w:t>
            </w:r>
          </w:p>
        </w:tc>
      </w:tr>
      <w:tr w:rsidR="001968AD" w:rsidRPr="001968AD" w:rsidTr="002B1B30">
        <w:trPr>
          <w:trHeight w:val="809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Europa Occidental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61</w:t>
            </w:r>
          </w:p>
        </w:tc>
      </w:tr>
      <w:tr w:rsidR="001968AD" w:rsidRPr="001968AD" w:rsidTr="002B1B30">
        <w:trPr>
          <w:trHeight w:val="866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Países nórdicos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35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48</w:t>
            </w:r>
          </w:p>
        </w:tc>
      </w:tr>
      <w:tr w:rsidR="001968AD" w:rsidRPr="001968AD" w:rsidTr="002B1B30">
        <w:trPr>
          <w:trHeight w:val="866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América Latina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55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1968AD" w:rsidRPr="001968AD" w:rsidRDefault="001968AD" w:rsidP="0019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196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68</w:t>
            </w:r>
          </w:p>
        </w:tc>
      </w:tr>
    </w:tbl>
    <w:p w:rsidR="001968AD" w:rsidRDefault="001968AD" w:rsidP="00F4751B">
      <w:pPr>
        <w:tabs>
          <w:tab w:val="left" w:pos="6900"/>
        </w:tabs>
        <w:spacing w:line="240" w:lineRule="auto"/>
        <w:rPr>
          <w:b/>
        </w:rPr>
      </w:pPr>
    </w:p>
    <w:p w:rsidR="00A45E71" w:rsidRPr="007F63A2" w:rsidRDefault="00A45E71" w:rsidP="00A45E71">
      <w:pPr>
        <w:rPr>
          <w:sz w:val="20"/>
          <w:szCs w:val="20"/>
        </w:rPr>
      </w:pPr>
      <w:r w:rsidRPr="007F63A2">
        <w:rPr>
          <w:sz w:val="20"/>
          <w:szCs w:val="20"/>
        </w:rPr>
        <w:t>Fuente: CIPPEC</w:t>
      </w:r>
      <w:r>
        <w:rPr>
          <w:sz w:val="20"/>
          <w:szCs w:val="20"/>
        </w:rPr>
        <w:t>,</w:t>
      </w:r>
      <w:r w:rsidRPr="007F63A2">
        <w:rPr>
          <w:sz w:val="20"/>
          <w:szCs w:val="20"/>
        </w:rPr>
        <w:t xml:space="preserve"> sobre la base de PISA 2012.</w:t>
      </w:r>
    </w:p>
    <w:p w:rsidR="009E0372" w:rsidRDefault="009E0372">
      <w:pPr>
        <w:tabs>
          <w:tab w:val="left" w:pos="6900"/>
        </w:tabs>
        <w:spacing w:line="240" w:lineRule="auto"/>
        <w:rPr>
          <w:i/>
        </w:rPr>
      </w:pPr>
    </w:p>
    <w:p w:rsidR="009E0372" w:rsidRDefault="009E0372">
      <w:pPr>
        <w:tabs>
          <w:tab w:val="left" w:pos="6900"/>
        </w:tabs>
        <w:spacing w:line="240" w:lineRule="auto"/>
        <w:rPr>
          <w:i/>
        </w:rPr>
      </w:pPr>
    </w:p>
    <w:p w:rsidR="009E0372" w:rsidRDefault="009E0372">
      <w:pPr>
        <w:tabs>
          <w:tab w:val="left" w:pos="6900"/>
        </w:tabs>
        <w:spacing w:line="240" w:lineRule="auto"/>
        <w:rPr>
          <w:i/>
        </w:rPr>
      </w:pPr>
    </w:p>
    <w:p w:rsidR="009E0372" w:rsidRDefault="009E0372">
      <w:pPr>
        <w:tabs>
          <w:tab w:val="left" w:pos="6900"/>
        </w:tabs>
        <w:spacing w:line="240" w:lineRule="auto"/>
        <w:rPr>
          <w:i/>
        </w:rPr>
      </w:pPr>
      <w:bookmarkStart w:id="0" w:name="_GoBack"/>
      <w:bookmarkEnd w:id="0"/>
    </w:p>
    <w:sectPr w:rsidR="009E0372" w:rsidSect="00DE7C9A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8D" w:rsidRDefault="00C5498D" w:rsidP="003A4DE1">
      <w:pPr>
        <w:spacing w:after="0" w:line="240" w:lineRule="auto"/>
      </w:pPr>
      <w:r>
        <w:separator/>
      </w:r>
    </w:p>
  </w:endnote>
  <w:endnote w:type="continuationSeparator" w:id="0">
    <w:p w:rsidR="00C5498D" w:rsidRDefault="00C5498D" w:rsidP="003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8D" w:rsidRDefault="00C5498D" w:rsidP="003A4DE1">
      <w:pPr>
        <w:spacing w:after="0" w:line="240" w:lineRule="auto"/>
      </w:pPr>
      <w:r>
        <w:separator/>
      </w:r>
    </w:p>
  </w:footnote>
  <w:footnote w:type="continuationSeparator" w:id="0">
    <w:p w:rsidR="00C5498D" w:rsidRDefault="00C5498D" w:rsidP="003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648"/>
    <w:multiLevelType w:val="hybridMultilevel"/>
    <w:tmpl w:val="80280F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962"/>
    <w:multiLevelType w:val="hybridMultilevel"/>
    <w:tmpl w:val="52D2BFF4"/>
    <w:lvl w:ilvl="0" w:tplc="2C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0DDC"/>
    <w:multiLevelType w:val="hybridMultilevel"/>
    <w:tmpl w:val="7752F2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19F9"/>
    <w:multiLevelType w:val="hybridMultilevel"/>
    <w:tmpl w:val="80280F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67C3"/>
    <w:multiLevelType w:val="hybridMultilevel"/>
    <w:tmpl w:val="80280F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72257"/>
    <w:multiLevelType w:val="hybridMultilevel"/>
    <w:tmpl w:val="0388CC1C"/>
    <w:lvl w:ilvl="0" w:tplc="2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77B7A"/>
    <w:multiLevelType w:val="hybridMultilevel"/>
    <w:tmpl w:val="80280F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E1854"/>
    <w:multiLevelType w:val="hybridMultilevel"/>
    <w:tmpl w:val="80280F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F6"/>
    <w:rsid w:val="00015EA2"/>
    <w:rsid w:val="000551D1"/>
    <w:rsid w:val="00081C45"/>
    <w:rsid w:val="000A2A0D"/>
    <w:rsid w:val="000A4CAB"/>
    <w:rsid w:val="00132EDB"/>
    <w:rsid w:val="00142F6D"/>
    <w:rsid w:val="001470CE"/>
    <w:rsid w:val="001709F6"/>
    <w:rsid w:val="00170DA0"/>
    <w:rsid w:val="001968AD"/>
    <w:rsid w:val="00197F5E"/>
    <w:rsid w:val="001B07AB"/>
    <w:rsid w:val="001D2289"/>
    <w:rsid w:val="001E3E89"/>
    <w:rsid w:val="00202AE7"/>
    <w:rsid w:val="002130BB"/>
    <w:rsid w:val="0024659B"/>
    <w:rsid w:val="00246FCF"/>
    <w:rsid w:val="002611E5"/>
    <w:rsid w:val="0027515D"/>
    <w:rsid w:val="002B1B30"/>
    <w:rsid w:val="002C6EDF"/>
    <w:rsid w:val="002D4906"/>
    <w:rsid w:val="002F3C42"/>
    <w:rsid w:val="003019C0"/>
    <w:rsid w:val="00322746"/>
    <w:rsid w:val="003630CF"/>
    <w:rsid w:val="00370C84"/>
    <w:rsid w:val="003A4DE1"/>
    <w:rsid w:val="003C7C13"/>
    <w:rsid w:val="003D2125"/>
    <w:rsid w:val="003F7520"/>
    <w:rsid w:val="00413586"/>
    <w:rsid w:val="0042559A"/>
    <w:rsid w:val="00430883"/>
    <w:rsid w:val="00466553"/>
    <w:rsid w:val="00470B88"/>
    <w:rsid w:val="004773F3"/>
    <w:rsid w:val="00485990"/>
    <w:rsid w:val="004A5C5E"/>
    <w:rsid w:val="004B1FAC"/>
    <w:rsid w:val="00501E00"/>
    <w:rsid w:val="00501FB8"/>
    <w:rsid w:val="00504D75"/>
    <w:rsid w:val="005230CB"/>
    <w:rsid w:val="00530123"/>
    <w:rsid w:val="005306B8"/>
    <w:rsid w:val="0054351E"/>
    <w:rsid w:val="005845B2"/>
    <w:rsid w:val="005A1317"/>
    <w:rsid w:val="005A61E2"/>
    <w:rsid w:val="005B000D"/>
    <w:rsid w:val="005B3F07"/>
    <w:rsid w:val="005D7463"/>
    <w:rsid w:val="00611313"/>
    <w:rsid w:val="006145D7"/>
    <w:rsid w:val="00645E2C"/>
    <w:rsid w:val="006671D4"/>
    <w:rsid w:val="0066755E"/>
    <w:rsid w:val="006E629B"/>
    <w:rsid w:val="007451E9"/>
    <w:rsid w:val="00756C3D"/>
    <w:rsid w:val="007A2530"/>
    <w:rsid w:val="007A3F23"/>
    <w:rsid w:val="007A6E4E"/>
    <w:rsid w:val="007B5C4F"/>
    <w:rsid w:val="007D0A95"/>
    <w:rsid w:val="007F09E7"/>
    <w:rsid w:val="007F34A8"/>
    <w:rsid w:val="007F63A2"/>
    <w:rsid w:val="00815B36"/>
    <w:rsid w:val="008440E7"/>
    <w:rsid w:val="008914B7"/>
    <w:rsid w:val="00897BBD"/>
    <w:rsid w:val="008A32FC"/>
    <w:rsid w:val="008C6630"/>
    <w:rsid w:val="00911484"/>
    <w:rsid w:val="009217CD"/>
    <w:rsid w:val="00974F1C"/>
    <w:rsid w:val="009752DA"/>
    <w:rsid w:val="00985971"/>
    <w:rsid w:val="009E0372"/>
    <w:rsid w:val="009E3438"/>
    <w:rsid w:val="00A00146"/>
    <w:rsid w:val="00A45E71"/>
    <w:rsid w:val="00AE35C6"/>
    <w:rsid w:val="00B00040"/>
    <w:rsid w:val="00B02677"/>
    <w:rsid w:val="00B057C7"/>
    <w:rsid w:val="00B2359D"/>
    <w:rsid w:val="00B579D7"/>
    <w:rsid w:val="00BC1E53"/>
    <w:rsid w:val="00BF0812"/>
    <w:rsid w:val="00C3538F"/>
    <w:rsid w:val="00C35477"/>
    <w:rsid w:val="00C45FF0"/>
    <w:rsid w:val="00C5498D"/>
    <w:rsid w:val="00C85BF4"/>
    <w:rsid w:val="00C87696"/>
    <w:rsid w:val="00C93E5B"/>
    <w:rsid w:val="00CA3CAB"/>
    <w:rsid w:val="00D1554B"/>
    <w:rsid w:val="00D41FC7"/>
    <w:rsid w:val="00D50916"/>
    <w:rsid w:val="00D533D0"/>
    <w:rsid w:val="00D53A8A"/>
    <w:rsid w:val="00D55574"/>
    <w:rsid w:val="00D55DD7"/>
    <w:rsid w:val="00D654CB"/>
    <w:rsid w:val="00DC5544"/>
    <w:rsid w:val="00DC5D7F"/>
    <w:rsid w:val="00DD5239"/>
    <w:rsid w:val="00DE7C9A"/>
    <w:rsid w:val="00DF32FB"/>
    <w:rsid w:val="00E0742C"/>
    <w:rsid w:val="00E200C0"/>
    <w:rsid w:val="00E327B2"/>
    <w:rsid w:val="00E33893"/>
    <w:rsid w:val="00E511BE"/>
    <w:rsid w:val="00E53055"/>
    <w:rsid w:val="00EC3958"/>
    <w:rsid w:val="00EC7915"/>
    <w:rsid w:val="00ED546C"/>
    <w:rsid w:val="00F22917"/>
    <w:rsid w:val="00F245E6"/>
    <w:rsid w:val="00F273A5"/>
    <w:rsid w:val="00F4751B"/>
    <w:rsid w:val="00FA6245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F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4D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DE1"/>
  </w:style>
  <w:style w:type="paragraph" w:styleId="Piedepgina">
    <w:name w:val="footer"/>
    <w:basedOn w:val="Normal"/>
    <w:link w:val="PiedepginaCar"/>
    <w:uiPriority w:val="99"/>
    <w:unhideWhenUsed/>
    <w:rsid w:val="003A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DE1"/>
  </w:style>
  <w:style w:type="paragraph" w:styleId="NormalWeb">
    <w:name w:val="Normal (Web)"/>
    <w:basedOn w:val="Normal"/>
    <w:uiPriority w:val="99"/>
    <w:semiHidden/>
    <w:unhideWhenUsed/>
    <w:rsid w:val="00D55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F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4D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DE1"/>
  </w:style>
  <w:style w:type="paragraph" w:styleId="Piedepgina">
    <w:name w:val="footer"/>
    <w:basedOn w:val="Normal"/>
    <w:link w:val="PiedepginaCar"/>
    <w:uiPriority w:val="99"/>
    <w:unhideWhenUsed/>
    <w:rsid w:val="003A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DE1"/>
  </w:style>
  <w:style w:type="paragraph" w:styleId="NormalWeb">
    <w:name w:val="Normal (Web)"/>
    <w:basedOn w:val="Normal"/>
    <w:uiPriority w:val="99"/>
    <w:semiHidden/>
    <w:unhideWhenUsed/>
    <w:rsid w:val="00D55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image" Target="media/image3.png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8.xm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image" Target="media/image6.emf"/><Relationship Id="rId28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openxmlformats.org/officeDocument/2006/relationships/image" Target="media/image5.emf"/><Relationship Id="rId27" Type="http://schemas.openxmlformats.org/officeDocument/2006/relationships/chart" Target="charts/chart13.xml"/><Relationship Id="rId30" Type="http://schemas.openxmlformats.org/officeDocument/2006/relationships/image" Target="media/image9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MAPEAL%202\estad&#236;ticas%20educativas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MAPEAL%202\estad&#236;ticas%20educativa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MAPEAL%202\estad&#236;ticas%20educativa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Bezem\Dropbox\Estad&#237;sticas%20Mapeal\CUADROS%20PIS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ura\Desktop\PISA%202012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MAPEAL%202\comparaci&#243;n%20200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Bezem\Dropbox\MAPEAL%202\estad&#236;ticas%20educativ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TNE!$B$3</c:f>
              <c:strCache>
                <c:ptCount val="1"/>
                <c:pt idx="0">
                  <c:v>2000</c:v>
                </c:pt>
              </c:strCache>
            </c:strRef>
          </c:tx>
          <c:spPr>
            <a:noFill/>
            <a:ln>
              <a:solidFill>
                <a:schemeClr val="tx1"/>
              </a:solidFill>
              <a:prstDash val="sysDash"/>
            </a:ln>
          </c:spPr>
          <c:invertIfNegative val="0"/>
          <c:dLbls>
            <c:dLbl>
              <c:idx val="4"/>
              <c:delete val="1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TNE!$A$4:$A$11</c:f>
              <c:strCache>
                <c:ptCount val="8"/>
                <c:pt idx="0">
                  <c:v>Argentina</c:v>
                </c:pt>
                <c:pt idx="1">
                  <c:v>Chile</c:v>
                </c:pt>
                <c:pt idx="2">
                  <c:v>Perú</c:v>
                </c:pt>
                <c:pt idx="3">
                  <c:v>Brasil*</c:v>
                </c:pt>
                <c:pt idx="4">
                  <c:v>Colombia**</c:v>
                </c:pt>
                <c:pt idx="5">
                  <c:v>Uruguay*</c:v>
                </c:pt>
                <c:pt idx="6">
                  <c:v>México**</c:v>
                </c:pt>
                <c:pt idx="7">
                  <c:v>Costa Rica**</c:v>
                </c:pt>
              </c:strCache>
            </c:strRef>
          </c:cat>
          <c:val>
            <c:numRef>
              <c:f>TNE!$B$4:$B$11</c:f>
              <c:numCache>
                <c:formatCode>0</c:formatCode>
                <c:ptCount val="8"/>
                <c:pt idx="0">
                  <c:v>81.44</c:v>
                </c:pt>
                <c:pt idx="1">
                  <c:v>77.58</c:v>
                </c:pt>
                <c:pt idx="2">
                  <c:v>58.9</c:v>
                </c:pt>
                <c:pt idx="3">
                  <c:v>70.180000000000007</c:v>
                </c:pt>
                <c:pt idx="4">
                  <c:v>0</c:v>
                </c:pt>
                <c:pt idx="5">
                  <c:v>74.03</c:v>
                </c:pt>
                <c:pt idx="6">
                  <c:v>63.69</c:v>
                </c:pt>
                <c:pt idx="7">
                  <c:v>49.29</c:v>
                </c:pt>
              </c:numCache>
            </c:numRef>
          </c:val>
        </c:ser>
        <c:ser>
          <c:idx val="1"/>
          <c:order val="1"/>
          <c:tx>
            <c:strRef>
              <c:f>TNE!$C$3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70000"/>
              </a:schemeClr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TNE!$A$4:$A$11</c:f>
              <c:strCache>
                <c:ptCount val="8"/>
                <c:pt idx="0">
                  <c:v>Argentina</c:v>
                </c:pt>
                <c:pt idx="1">
                  <c:v>Chile</c:v>
                </c:pt>
                <c:pt idx="2">
                  <c:v>Perú</c:v>
                </c:pt>
                <c:pt idx="3">
                  <c:v>Brasil*</c:v>
                </c:pt>
                <c:pt idx="4">
                  <c:v>Colombia**</c:v>
                </c:pt>
                <c:pt idx="5">
                  <c:v>Uruguay*</c:v>
                </c:pt>
                <c:pt idx="6">
                  <c:v>México**</c:v>
                </c:pt>
                <c:pt idx="7">
                  <c:v>Costa Rica**</c:v>
                </c:pt>
              </c:strCache>
            </c:strRef>
          </c:cat>
          <c:val>
            <c:numRef>
              <c:f>TNE!$C$4:$C$11</c:f>
              <c:numCache>
                <c:formatCode>0</c:formatCode>
                <c:ptCount val="8"/>
                <c:pt idx="0">
                  <c:v>84.45</c:v>
                </c:pt>
                <c:pt idx="1">
                  <c:v>82.34</c:v>
                </c:pt>
                <c:pt idx="2">
                  <c:v>78.19</c:v>
                </c:pt>
                <c:pt idx="3">
                  <c:v>76.599999999999994</c:v>
                </c:pt>
                <c:pt idx="4">
                  <c:v>76.06</c:v>
                </c:pt>
                <c:pt idx="5">
                  <c:v>75.92</c:v>
                </c:pt>
                <c:pt idx="6">
                  <c:v>71.92</c:v>
                </c:pt>
                <c:pt idx="7">
                  <c:v>65.13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760448"/>
        <c:axId val="102761984"/>
      </c:barChart>
      <c:catAx>
        <c:axId val="10276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61984"/>
        <c:crosses val="autoZero"/>
        <c:auto val="1"/>
        <c:lblAlgn val="ctr"/>
        <c:lblOffset val="100"/>
        <c:noMultiLvlLbl val="0"/>
      </c:catAx>
      <c:valAx>
        <c:axId val="102761984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02760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128309779418261E-2"/>
          <c:y val="3.3601912311076211E-2"/>
          <c:w val="0.92425239819101657"/>
          <c:h val="0.7376519563216705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'II.2.4'!$B$14</c:f>
              <c:strCache>
                <c:ptCount val="1"/>
                <c:pt idx="0">
                  <c:v>All students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invertIfNegative val="0"/>
          <c:dPt>
            <c:idx val="4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6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6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cat>
            <c:strRef>
              <c:f>'II.2.4'!$A$17:$A$80</c:f>
              <c:strCache>
                <c:ptCount val="64"/>
                <c:pt idx="0">
                  <c:v>Shanghai-China</c:v>
                </c:pt>
                <c:pt idx="1">
                  <c:v>Hong Kong-China</c:v>
                </c:pt>
                <c:pt idx="2">
                  <c:v>Macao-China</c:v>
                </c:pt>
                <c:pt idx="3">
                  <c:v>Vietnam</c:v>
                </c:pt>
                <c:pt idx="4">
                  <c:v>Singapur</c:v>
                </c:pt>
                <c:pt idx="5">
                  <c:v>Corea</c:v>
                </c:pt>
                <c:pt idx="6">
                  <c:v>China Taipei</c:v>
                </c:pt>
                <c:pt idx="7">
                  <c:v>Japón</c:v>
                </c:pt>
                <c:pt idx="8">
                  <c:v>Liechtenstein</c:v>
                </c:pt>
                <c:pt idx="9">
                  <c:v>Suiza</c:v>
                </c:pt>
                <c:pt idx="10">
                  <c:v>Estonia</c:v>
                </c:pt>
                <c:pt idx="11">
                  <c:v>Holanda</c:v>
                </c:pt>
                <c:pt idx="12">
                  <c:v>Polonia</c:v>
                </c:pt>
                <c:pt idx="13">
                  <c:v>Canadá</c:v>
                </c:pt>
                <c:pt idx="14">
                  <c:v>Finlandia</c:v>
                </c:pt>
                <c:pt idx="15">
                  <c:v>Bélgica</c:v>
                </c:pt>
                <c:pt idx="16">
                  <c:v>Portugal</c:v>
                </c:pt>
                <c:pt idx="17">
                  <c:v>Alemania</c:v>
                </c:pt>
                <c:pt idx="18">
                  <c:v>Turiquía</c:v>
                </c:pt>
                <c:pt idx="19">
                  <c:v>Promedio OCDE</c:v>
                </c:pt>
                <c:pt idx="20">
                  <c:v>Italia</c:v>
                </c:pt>
                <c:pt idx="21">
                  <c:v>España</c:v>
                </c:pt>
                <c:pt idx="22">
                  <c:v>Latvia</c:v>
                </c:pt>
                <c:pt idx="23">
                  <c:v>Irlanda</c:v>
                </c:pt>
                <c:pt idx="24">
                  <c:v>Australia</c:v>
                </c:pt>
                <c:pt idx="25">
                  <c:v>Tailandia</c:v>
                </c:pt>
                <c:pt idx="26">
                  <c:v>Austria</c:v>
                </c:pt>
                <c:pt idx="27">
                  <c:v>Luxembourgo</c:v>
                </c:pt>
                <c:pt idx="28">
                  <c:v>República Checa</c:v>
                </c:pt>
                <c:pt idx="29">
                  <c:v>Eslovenia</c:v>
                </c:pt>
                <c:pt idx="30">
                  <c:v>Reino Unido</c:v>
                </c:pt>
                <c:pt idx="31">
                  <c:v>Lituania</c:v>
                </c:pt>
                <c:pt idx="32">
                  <c:v>Francia</c:v>
                </c:pt>
                <c:pt idx="33">
                  <c:v>Noruega</c:v>
                </c:pt>
                <c:pt idx="34">
                  <c:v>Islandia</c:v>
                </c:pt>
                <c:pt idx="35">
                  <c:v>Nueva Zelanda</c:v>
                </c:pt>
                <c:pt idx="36">
                  <c:v>Rusia</c:v>
                </c:pt>
                <c:pt idx="37">
                  <c:v>EE.UU.</c:v>
                </c:pt>
                <c:pt idx="38">
                  <c:v>Croacia</c:v>
                </c:pt>
                <c:pt idx="39">
                  <c:v>Dinamarca</c:v>
                </c:pt>
                <c:pt idx="40">
                  <c:v>Suecia</c:v>
                </c:pt>
                <c:pt idx="41">
                  <c:v>Hungría</c:v>
                </c:pt>
                <c:pt idx="42">
                  <c:v>Eslovaquia</c:v>
                </c:pt>
                <c:pt idx="43">
                  <c:v>México</c:v>
                </c:pt>
                <c:pt idx="44">
                  <c:v>Serbia</c:v>
                </c:pt>
                <c:pt idx="45">
                  <c:v>Grecia</c:v>
                </c:pt>
                <c:pt idx="46">
                  <c:v>Israel</c:v>
                </c:pt>
                <c:pt idx="47">
                  <c:v>Túnez</c:v>
                </c:pt>
                <c:pt idx="48">
                  <c:v>Rumania</c:v>
                </c:pt>
                <c:pt idx="49">
                  <c:v>Malasia</c:v>
                </c:pt>
                <c:pt idx="50">
                  <c:v>Indonesia</c:v>
                </c:pt>
                <c:pt idx="51">
                  <c:v>Bulgaria</c:v>
                </c:pt>
                <c:pt idx="52">
                  <c:v>Kazakstán</c:v>
                </c:pt>
                <c:pt idx="53">
                  <c:v>Uruguay</c:v>
                </c:pt>
                <c:pt idx="54">
                  <c:v>Brasil</c:v>
                </c:pt>
                <c:pt idx="55">
                  <c:v>Costa Rica</c:v>
                </c:pt>
                <c:pt idx="56">
                  <c:v>Chile</c:v>
                </c:pt>
                <c:pt idx="57">
                  <c:v>Colombia</c:v>
                </c:pt>
                <c:pt idx="58">
                  <c:v>Montenegro</c:v>
                </c:pt>
                <c:pt idx="59">
                  <c:v>Emiratos Árabes</c:v>
                </c:pt>
                <c:pt idx="60">
                  <c:v>Argentina</c:v>
                </c:pt>
                <c:pt idx="61">
                  <c:v>Jordán</c:v>
                </c:pt>
                <c:pt idx="62">
                  <c:v>Perú</c:v>
                </c:pt>
                <c:pt idx="63">
                  <c:v>Qatar</c:v>
                </c:pt>
              </c:strCache>
            </c:strRef>
          </c:cat>
          <c:val>
            <c:numRef>
              <c:f>'II.2.4'!$B$17:$B$80</c:f>
              <c:numCache>
                <c:formatCode>#.#00</c:formatCode>
                <c:ptCount val="64"/>
                <c:pt idx="0">
                  <c:v>19.230741397762966</c:v>
                </c:pt>
                <c:pt idx="1">
                  <c:v>18.163848758860571</c:v>
                </c:pt>
                <c:pt idx="2">
                  <c:v>16.906328839695782</c:v>
                </c:pt>
                <c:pt idx="3">
                  <c:v>16.752820099236089</c:v>
                </c:pt>
                <c:pt idx="4">
                  <c:v>15.08719420645618</c:v>
                </c:pt>
                <c:pt idx="5">
                  <c:v>12.816908611401143</c:v>
                </c:pt>
                <c:pt idx="6">
                  <c:v>12.364923188543099</c:v>
                </c:pt>
                <c:pt idx="7">
                  <c:v>11.358847487390925</c:v>
                </c:pt>
                <c:pt idx="8">
                  <c:v>10.183019800725921</c:v>
                </c:pt>
                <c:pt idx="9">
                  <c:v>9.9976369061689532</c:v>
                </c:pt>
                <c:pt idx="10">
                  <c:v>9.6116809245579446</c:v>
                </c:pt>
                <c:pt idx="11">
                  <c:v>8.7050872737795402</c:v>
                </c:pt>
                <c:pt idx="12">
                  <c:v>8.4446882948231838</c:v>
                </c:pt>
                <c:pt idx="13">
                  <c:v>8.3525717803353636</c:v>
                </c:pt>
                <c:pt idx="14">
                  <c:v>8.2275526922643127</c:v>
                </c:pt>
                <c:pt idx="15">
                  <c:v>8.1009089438462603</c:v>
                </c:pt>
                <c:pt idx="16">
                  <c:v>7.6852376916751322</c:v>
                </c:pt>
                <c:pt idx="17">
                  <c:v>7.5215305696617447</c:v>
                </c:pt>
                <c:pt idx="18">
                  <c:v>7.1211813822591292</c:v>
                </c:pt>
                <c:pt idx="19">
                  <c:v>6.4595141919282568</c:v>
                </c:pt>
                <c:pt idx="20">
                  <c:v>6.4568813374938854</c:v>
                </c:pt>
                <c:pt idx="21">
                  <c:v>6.4497717845175684</c:v>
                </c:pt>
                <c:pt idx="22">
                  <c:v>6.3752805259789183</c:v>
                </c:pt>
                <c:pt idx="23">
                  <c:v>6.3697238718132692</c:v>
                </c:pt>
                <c:pt idx="24">
                  <c:v>6.3247626225486027</c:v>
                </c:pt>
                <c:pt idx="25">
                  <c:v>6.2704853540852463</c:v>
                </c:pt>
                <c:pt idx="26">
                  <c:v>6.2198280618501203</c:v>
                </c:pt>
                <c:pt idx="27">
                  <c:v>6.1211892446137544</c:v>
                </c:pt>
                <c:pt idx="28">
                  <c:v>5.9322562184745644</c:v>
                </c:pt>
                <c:pt idx="29">
                  <c:v>5.8983300280337945</c:v>
                </c:pt>
                <c:pt idx="30">
                  <c:v>5.8124953863140805</c:v>
                </c:pt>
                <c:pt idx="31">
                  <c:v>5.716716255785256</c:v>
                </c:pt>
                <c:pt idx="32">
                  <c:v>5.4961970518669503</c:v>
                </c:pt>
                <c:pt idx="33">
                  <c:v>5.3754160850803254</c:v>
                </c:pt>
                <c:pt idx="34">
                  <c:v>5.3074218871113548</c:v>
                </c:pt>
                <c:pt idx="35">
                  <c:v>5.3046642284918688</c:v>
                </c:pt>
                <c:pt idx="36">
                  <c:v>5.2473209609705016</c:v>
                </c:pt>
                <c:pt idx="37">
                  <c:v>5.1550274282800572</c:v>
                </c:pt>
                <c:pt idx="38">
                  <c:v>5.0737322121698627</c:v>
                </c:pt>
                <c:pt idx="39">
                  <c:v>5.046510801157158</c:v>
                </c:pt>
                <c:pt idx="40">
                  <c:v>4.3950808583474803</c:v>
                </c:pt>
                <c:pt idx="41">
                  <c:v>4.1324700938437076</c:v>
                </c:pt>
                <c:pt idx="42">
                  <c:v>3.9458043262508311</c:v>
                </c:pt>
                <c:pt idx="43">
                  <c:v>3.8384492506239249</c:v>
                </c:pt>
                <c:pt idx="44">
                  <c:v>3.6063338188118172</c:v>
                </c:pt>
                <c:pt idx="45">
                  <c:v>3.2427944816723118</c:v>
                </c:pt>
                <c:pt idx="46">
                  <c:v>3.183638073551633</c:v>
                </c:pt>
                <c:pt idx="47">
                  <c:v>2.8510913467707559</c:v>
                </c:pt>
                <c:pt idx="48">
                  <c:v>2.8021505122081152</c:v>
                </c:pt>
                <c:pt idx="49">
                  <c:v>2.6354938043273664</c:v>
                </c:pt>
                <c:pt idx="50">
                  <c:v>2.5419065625980082</c:v>
                </c:pt>
                <c:pt idx="51">
                  <c:v>2.1248095005423044</c:v>
                </c:pt>
                <c:pt idx="52">
                  <c:v>2.0936847312519289</c:v>
                </c:pt>
                <c:pt idx="53">
                  <c:v>2.0849121519782443</c:v>
                </c:pt>
                <c:pt idx="54">
                  <c:v>1.9291423898484559</c:v>
                </c:pt>
                <c:pt idx="55">
                  <c:v>1.8553846148624302</c:v>
                </c:pt>
                <c:pt idx="56">
                  <c:v>1.6709368454597708</c:v>
                </c:pt>
                <c:pt idx="57">
                  <c:v>1.4598405804934864</c:v>
                </c:pt>
                <c:pt idx="58">
                  <c:v>1.3350240182538098</c:v>
                </c:pt>
                <c:pt idx="59">
                  <c:v>1.1968654917813466</c:v>
                </c:pt>
                <c:pt idx="60">
                  <c:v>1.0448133038369896</c:v>
                </c:pt>
                <c:pt idx="61">
                  <c:v>0.86414224124113059</c:v>
                </c:pt>
                <c:pt idx="62">
                  <c:v>0.52819024758045008</c:v>
                </c:pt>
                <c:pt idx="63">
                  <c:v>0.45089420412464093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6292608"/>
        <c:axId val="116298496"/>
      </c:barChart>
      <c:catAx>
        <c:axId val="11629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16298496"/>
        <c:crosses val="autoZero"/>
        <c:auto val="1"/>
        <c:lblAlgn val="ctr"/>
        <c:lblOffset val="100"/>
        <c:tickLblSkip val="1"/>
        <c:noMultiLvlLbl val="0"/>
      </c:catAx>
      <c:valAx>
        <c:axId val="116298496"/>
        <c:scaling>
          <c:orientation val="minMax"/>
          <c:max val="21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AR"/>
                  <a:t>Porcentaje</a:t>
                </a:r>
                <a:r>
                  <a:rPr lang="es-AR" baseline="0"/>
                  <a:t> de estudiantes resilientes entre todos los estudiantes</a:t>
                </a:r>
              </a:p>
            </c:rich>
          </c:tx>
          <c:layout>
            <c:manualLayout>
              <c:xMode val="edge"/>
              <c:yMode val="edge"/>
              <c:x val="0.976525779105198"/>
              <c:y val="0.19621486751584294"/>
            </c:manualLayout>
          </c:layout>
          <c:overlay val="0"/>
        </c:title>
        <c:numFmt formatCode="General" sourceLinked="0"/>
        <c:majorTickMark val="none"/>
        <c:minorTickMark val="none"/>
        <c:tickLblPos val="high"/>
        <c:spPr>
          <a:ln>
            <a:noFill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16292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AR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639136774569841E-2"/>
          <c:y val="2.1458192725909386E-2"/>
          <c:w val="0.91013683289588787"/>
          <c:h val="0.67945350581177355"/>
        </c:manualLayout>
      </c:layout>
      <c:lineChart>
        <c:grouping val="standard"/>
        <c:varyColors val="0"/>
        <c:ser>
          <c:idx val="3"/>
          <c:order val="0"/>
          <c:tx>
            <c:strRef>
              <c:f>'II.2.6'!$K$13</c:f>
              <c:strCache>
                <c:ptCount val="1"/>
                <c:pt idx="0">
                  <c:v>Cuartil superior (el número indica la posición en el ranking)</c:v>
                </c:pt>
              </c:strCache>
            </c:strRef>
          </c:tx>
          <c:spPr>
            <a:ln>
              <a:noFill/>
            </a:ln>
          </c:spPr>
          <c:marker>
            <c:symbol val="triangle"/>
            <c:size val="7"/>
            <c:spPr>
              <a:solidFill>
                <a:srgbClr val="0070C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strRef>
                  <c:f>'II.2.6'!$L$28</c:f>
                  <c:strCache>
                    <c:ptCount val="1"/>
                    <c:pt idx="0">
                      <c:v>12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tx>
                <c:strRef>
                  <c:f>'II.2.6'!$L$33</c:f>
                  <c:strCache>
                    <c:ptCount val="1"/>
                    <c:pt idx="0">
                      <c:v>9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7"/>
              <c:tx>
                <c:strRef>
                  <c:f>'II.2.6'!$L$27</c:f>
                  <c:strCache>
                    <c:ptCount val="1"/>
                    <c:pt idx="0">
                      <c:v>34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8"/>
              <c:tx>
                <c:strRef>
                  <c:f>'Data_Figure II.2.6'!#¡REF!</c:f>
                  <c:strCache>
                    <c:ptCount val="1"/>
                    <c:pt idx="0">
                      <c:v>#REF!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9"/>
              <c:tx>
                <c:strRef>
                  <c:f>'II.2.6'!$L$34</c:f>
                  <c:strCache>
                    <c:ptCount val="1"/>
                    <c:pt idx="0">
                      <c:v>26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0"/>
              <c:tx>
                <c:strRef>
                  <c:f>'II.2.6'!$L$25</c:f>
                  <c:strCache>
                    <c:ptCount val="1"/>
                    <c:pt idx="0">
                      <c:v>29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1"/>
              <c:tx>
                <c:strRef>
                  <c:f>'II.2.6'!$L$26</c:f>
                  <c:strCache>
                    <c:ptCount val="1"/>
                    <c:pt idx="0">
                      <c:v>37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2"/>
              <c:tx>
                <c:strRef>
                  <c:f>'II.2.6'!$L$53</c:f>
                  <c:strCache>
                    <c:ptCount val="1"/>
                    <c:pt idx="0">
                      <c:v>22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3"/>
              <c:tx>
                <c:strRef>
                  <c:f>'II.2.6'!$L$30</c:f>
                  <c:strCache>
                    <c:ptCount val="1"/>
                    <c:pt idx="0">
                      <c:v>27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4"/>
              <c:tx>
                <c:strRef>
                  <c:f>'II.2.6'!$L$35</c:f>
                  <c:strCache>
                    <c:ptCount val="1"/>
                    <c:pt idx="0">
                      <c:v>21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5"/>
              <c:tx>
                <c:strRef>
                  <c:f>'II.2.6'!$L$52</c:f>
                  <c:strCache>
                    <c:ptCount val="1"/>
                    <c:pt idx="0">
                      <c:v>33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6"/>
              <c:tx>
                <c:strRef>
                  <c:f>'II.2.6'!#REF!</c:f>
                  <c:strCache>
                    <c:ptCount val="1"/>
                    <c:pt idx="0">
                      <c:v>#REF!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7"/>
              <c:tx>
                <c:strRef>
                  <c:f>'II.2.6'!$L$50</c:f>
                  <c:strCache>
                    <c:ptCount val="1"/>
                    <c:pt idx="0">
                      <c:v>20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8"/>
              <c:tx>
                <c:strRef>
                  <c:f>'II.2.6'!$L$42</c:f>
                  <c:strCache>
                    <c:ptCount val="1"/>
                    <c:pt idx="0">
                      <c:v>36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9"/>
              <c:tx>
                <c:strRef>
                  <c:f>'II.2.6'!$L$61</c:f>
                  <c:strCache>
                    <c:ptCount val="1"/>
                    <c:pt idx="0">
                      <c:v>39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0"/>
              <c:tx>
                <c:strRef>
                  <c:f>'II.2.6'!$L$47</c:f>
                  <c:strCache>
                    <c:ptCount val="1"/>
                    <c:pt idx="0">
                      <c:v>14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1"/>
              <c:tx>
                <c:strRef>
                  <c:f>'II.2.6'!$L$36</c:f>
                  <c:strCache>
                    <c:ptCount val="1"/>
                    <c:pt idx="0">
                      <c:v>31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2"/>
              <c:tx>
                <c:strRef>
                  <c:f>'II.2.6'!$L$37</c:f>
                  <c:strCache>
                    <c:ptCount val="1"/>
                    <c:pt idx="0">
                      <c:v>40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3"/>
              <c:tx>
                <c:strRef>
                  <c:f>'II.2.6'!$L$38</c:f>
                  <c:strCache>
                    <c:ptCount val="1"/>
                    <c:pt idx="0">
                      <c:v>13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4"/>
              <c:tx>
                <c:strRef>
                  <c:f>'II.2.6'!$L$48</c:f>
                  <c:strCache>
                    <c:ptCount val="1"/>
                    <c:pt idx="0">
                      <c:v>32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5"/>
              <c:tx>
                <c:strRef>
                  <c:f>'II.2.6'!$L$39</c:f>
                  <c:strCache>
                    <c:ptCount val="1"/>
                    <c:pt idx="0">
                      <c:v>24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6"/>
              <c:tx>
                <c:strRef>
                  <c:f>'II.2.6'!$L$62</c:f>
                  <c:strCache>
                    <c:ptCount val="1"/>
                    <c:pt idx="0">
                      <c:v>38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7"/>
              <c:tx>
                <c:strRef>
                  <c:f>'II.2.6'!$L$40</c:f>
                  <c:strCache>
                    <c:ptCount val="1"/>
                    <c:pt idx="0">
                      <c:v>25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8"/>
              <c:tx>
                <c:strRef>
                  <c:f>'II.2.6'!$L$63</c:f>
                  <c:strCache>
                    <c:ptCount val="1"/>
                    <c:pt idx="0">
                      <c:v>41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9"/>
              <c:tx>
                <c:strRef>
                  <c:f>'II.2.6'!$L$64</c:f>
                  <c:strCache>
                    <c:ptCount val="1"/>
                    <c:pt idx="0">
                      <c:v>30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0"/>
              <c:tx>
                <c:strRef>
                  <c:f>'II.2.6'!$L$60</c:f>
                  <c:strCache>
                    <c:ptCount val="1"/>
                    <c:pt idx="0">
                      <c:v>28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1"/>
              <c:tx>
                <c:strRef>
                  <c:f>'II.2.6'!$L$55</c:f>
                  <c:strCache>
                    <c:ptCount val="1"/>
                    <c:pt idx="0">
                      <c:v>46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2"/>
              <c:tx>
                <c:strRef>
                  <c:f>'II.2.6'!$L$41</c:f>
                  <c:strCache>
                    <c:ptCount val="1"/>
                    <c:pt idx="0">
                      <c:v>42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3"/>
              <c:tx>
                <c:strRef>
                  <c:f>'II.2.6'!$L$84</c:f>
                  <c:strCache>
                    <c:ptCount val="1"/>
                    <c:pt idx="0">
                      <c:v>45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4"/>
              <c:tx>
                <c:strRef>
                  <c:f>'II.2.6'!$L$85</c:f>
                  <c:strCache>
                    <c:ptCount val="1"/>
                    <c:pt idx="0">
                      <c:v>35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5"/>
              <c:tx>
                <c:strRef>
                  <c:f>'II.2.6'!$L$56</c:f>
                  <c:strCache>
                    <c:ptCount val="1"/>
                    <c:pt idx="0">
                      <c:v>43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6"/>
              <c:tx>
                <c:strRef>
                  <c:f>'II.2.6'!$L$86</c:f>
                  <c:strCache>
                    <c:ptCount val="1"/>
                    <c:pt idx="0">
                      <c:v>49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7"/>
              <c:tx>
                <c:strRef>
                  <c:f>'II.2.6'!$L$57</c:f>
                  <c:strCache>
                    <c:ptCount val="1"/>
                    <c:pt idx="0">
                      <c:v>52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8"/>
              <c:tx>
                <c:strRef>
                  <c:f>'II.2.6'!$L$92</c:f>
                  <c:strCache>
                    <c:ptCount val="1"/>
                    <c:pt idx="0">
                      <c:v>50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9"/>
              <c:tx>
                <c:strRef>
                  <c:f>'II.2.6'!$L$93</c:f>
                  <c:strCache>
                    <c:ptCount val="1"/>
                    <c:pt idx="0">
                      <c:v>51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0"/>
              <c:tx>
                <c:strRef>
                  <c:f>'II.2.6'!$L$66</c:f>
                  <c:strCache>
                    <c:ptCount val="1"/>
                    <c:pt idx="0">
                      <c:v>55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1"/>
              <c:tx>
                <c:strRef>
                  <c:f>'II.2.6'!$L$58</c:f>
                  <c:strCache>
                    <c:ptCount val="1"/>
                    <c:pt idx="0">
                      <c:v>44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2"/>
              <c:tx>
                <c:strRef>
                  <c:f>'II.2.6'!$L$67</c:f>
                  <c:strCache>
                    <c:ptCount val="1"/>
                    <c:pt idx="0">
                      <c:v>47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3"/>
              <c:tx>
                <c:strRef>
                  <c:f>'II.2.6'!$L$59</c:f>
                  <c:strCache>
                    <c:ptCount val="1"/>
                    <c:pt idx="0">
                      <c:v>53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4"/>
              <c:tx>
                <c:strRef>
                  <c:f>'II.2.6'!$L$68</c:f>
                  <c:strCache>
                    <c:ptCount val="1"/>
                    <c:pt idx="0">
                      <c:v>54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5"/>
              <c:tx>
                <c:strRef>
                  <c:f>'II.2.6'!$L$69</c:f>
                  <c:strCache>
                    <c:ptCount val="1"/>
                    <c:pt idx="0">
                      <c:v>48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6"/>
              <c:tx>
                <c:strRef>
                  <c:f>'II.2.6'!$L$88</c:f>
                  <c:strCache>
                    <c:ptCount val="1"/>
                    <c:pt idx="0">
                      <c:v>58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7"/>
              <c:tx>
                <c:strRef>
                  <c:f>'II.2.6'!$L$89</c:f>
                  <c:strCache>
                    <c:ptCount val="1"/>
                    <c:pt idx="0">
                      <c:v>60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8"/>
              <c:tx>
                <c:strRef>
                  <c:f>'II.2.6'!$L$70</c:f>
                  <c:strCache>
                    <c:ptCount val="1"/>
                    <c:pt idx="0">
                      <c:v>56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9"/>
              <c:tx>
                <c:strRef>
                  <c:f>'II.2.6'!$L$91</c:f>
                  <c:strCache>
                    <c:ptCount val="1"/>
                    <c:pt idx="0">
                      <c:v>62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0"/>
              <c:tx>
                <c:strRef>
                  <c:f>'II.2.6'!$L$71</c:f>
                  <c:strCache>
                    <c:ptCount val="1"/>
                    <c:pt idx="0">
                      <c:v>57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1"/>
              <c:tx>
                <c:strRef>
                  <c:f>'II.2.6'!$L$72</c:f>
                  <c:strCache>
                    <c:ptCount val="1"/>
                    <c:pt idx="0">
                      <c:v>61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2"/>
              <c:tx>
                <c:strRef>
                  <c:f>'II.2.6'!$L$87</c:f>
                  <c:strCache>
                    <c:ptCount val="1"/>
                    <c:pt idx="0">
                      <c:v>63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3"/>
              <c:tx>
                <c:strRef>
                  <c:f>'II.2.6'!$L$73</c:f>
                  <c:strCache>
                    <c:ptCount val="1"/>
                    <c:pt idx="0">
                      <c:v>59</c:v>
                    </c:pt>
                  </c:strCache>
                </c:strRef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'II.2.6'!$A$66:$A$81</c:f>
              <c:strCache>
                <c:ptCount val="16"/>
                <c:pt idx="0">
                  <c:v>México  3.28</c:v>
                </c:pt>
                <c:pt idx="1">
                  <c:v>Chile  2.92</c:v>
                </c:pt>
                <c:pt idx="2">
                  <c:v>Costa Rica  3.22</c:v>
                </c:pt>
                <c:pt idx="3">
                  <c:v>Uruguay  2.92</c:v>
                </c:pt>
                <c:pt idx="4">
                  <c:v>Brasil  3.04</c:v>
                </c:pt>
                <c:pt idx="5">
                  <c:v>Argentina  2.88</c:v>
                </c:pt>
                <c:pt idx="6">
                  <c:v>Colombia  3.06</c:v>
                </c:pt>
                <c:pt idx="7">
                  <c:v>Perú 3.20</c:v>
                </c:pt>
                <c:pt idx="9">
                  <c:v>Asia Pacífico 2.20</c:v>
                </c:pt>
                <c:pt idx="10">
                  <c:v>Países nórdicos 2.02</c:v>
                </c:pt>
                <c:pt idx="11">
                  <c:v>Países anglosajones 2.16</c:v>
                </c:pt>
                <c:pt idx="12">
                  <c:v>Europa Occidental 2.36</c:v>
                </c:pt>
                <c:pt idx="13">
                  <c:v>OECD average  2.30</c:v>
                </c:pt>
                <c:pt idx="14">
                  <c:v>Europa Oriental 2.24</c:v>
                </c:pt>
                <c:pt idx="15">
                  <c:v>América Latina 3.06</c:v>
                </c:pt>
              </c:strCache>
            </c:strRef>
          </c:cat>
          <c:val>
            <c:numRef>
              <c:f>'II.2.6'!$K$66:$K$81</c:f>
              <c:numCache>
                <c:formatCode>0</c:formatCode>
                <c:ptCount val="16"/>
                <c:pt idx="0">
                  <c:v>446.65086863326616</c:v>
                </c:pt>
                <c:pt idx="1">
                  <c:v>477.37797079075415</c:v>
                </c:pt>
                <c:pt idx="2">
                  <c:v>450.21299132276255</c:v>
                </c:pt>
                <c:pt idx="3">
                  <c:v>471.81645253923068</c:v>
                </c:pt>
                <c:pt idx="4">
                  <c:v>436.94751935459362</c:v>
                </c:pt>
                <c:pt idx="5">
                  <c:v>432.69405764183784</c:v>
                </c:pt>
                <c:pt idx="6">
                  <c:v>416.96712931998462</c:v>
                </c:pt>
                <c:pt idx="7">
                  <c:v>421.44986804333496</c:v>
                </c:pt>
                <c:pt idx="9">
                  <c:v>605.80974822978101</c:v>
                </c:pt>
                <c:pt idx="10">
                  <c:v>536.9993887149019</c:v>
                </c:pt>
                <c:pt idx="11">
                  <c:v>548.58181052552834</c:v>
                </c:pt>
                <c:pt idx="12">
                  <c:v>547.42875651818622</c:v>
                </c:pt>
                <c:pt idx="13">
                  <c:v>541.9973209142089</c:v>
                </c:pt>
                <c:pt idx="14">
                  <c:v>521.08161275140662</c:v>
                </c:pt>
                <c:pt idx="15">
                  <c:v>444.26460720572055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'II.2.6'!$J$13</c:f>
              <c:strCache>
                <c:ptCount val="1"/>
                <c:pt idx="0">
                  <c:v>Tercer cuartil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7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cat>
            <c:strRef>
              <c:f>'II.2.6'!$A$66:$A$81</c:f>
              <c:strCache>
                <c:ptCount val="16"/>
                <c:pt idx="0">
                  <c:v>México  3.28</c:v>
                </c:pt>
                <c:pt idx="1">
                  <c:v>Chile  2.92</c:v>
                </c:pt>
                <c:pt idx="2">
                  <c:v>Costa Rica  3.22</c:v>
                </c:pt>
                <c:pt idx="3">
                  <c:v>Uruguay  2.92</c:v>
                </c:pt>
                <c:pt idx="4">
                  <c:v>Brasil  3.04</c:v>
                </c:pt>
                <c:pt idx="5">
                  <c:v>Argentina  2.88</c:v>
                </c:pt>
                <c:pt idx="6">
                  <c:v>Colombia  3.06</c:v>
                </c:pt>
                <c:pt idx="7">
                  <c:v>Perú 3.20</c:v>
                </c:pt>
                <c:pt idx="9">
                  <c:v>Asia Pacífico 2.20</c:v>
                </c:pt>
                <c:pt idx="10">
                  <c:v>Países nórdicos 2.02</c:v>
                </c:pt>
                <c:pt idx="11">
                  <c:v>Países anglosajones 2.16</c:v>
                </c:pt>
                <c:pt idx="12">
                  <c:v>Europa Occidental 2.36</c:v>
                </c:pt>
                <c:pt idx="13">
                  <c:v>OECD average  2.30</c:v>
                </c:pt>
                <c:pt idx="14">
                  <c:v>Europa Oriental 2.24</c:v>
                </c:pt>
                <c:pt idx="15">
                  <c:v>América Latina 3.06</c:v>
                </c:pt>
              </c:strCache>
            </c:strRef>
          </c:cat>
          <c:val>
            <c:numRef>
              <c:f>'II.2.6'!$J$66:$J$81</c:f>
              <c:numCache>
                <c:formatCode>0</c:formatCode>
                <c:ptCount val="16"/>
                <c:pt idx="0">
                  <c:v>416.52049733999166</c:v>
                </c:pt>
                <c:pt idx="1">
                  <c:v>428.68791705347923</c:v>
                </c:pt>
                <c:pt idx="2">
                  <c:v>412.37629239116029</c:v>
                </c:pt>
                <c:pt idx="3">
                  <c:v>413.55691923139892</c:v>
                </c:pt>
                <c:pt idx="4">
                  <c:v>394.57845246924956</c:v>
                </c:pt>
                <c:pt idx="5">
                  <c:v>393.76008307132804</c:v>
                </c:pt>
                <c:pt idx="6">
                  <c:v>382.43008367712207</c:v>
                </c:pt>
                <c:pt idx="7">
                  <c:v>382.03452455990498</c:v>
                </c:pt>
                <c:pt idx="9">
                  <c:v>573.60915696491054</c:v>
                </c:pt>
                <c:pt idx="10">
                  <c:v>513.54455257445397</c:v>
                </c:pt>
                <c:pt idx="11">
                  <c:v>513.1313588483124</c:v>
                </c:pt>
                <c:pt idx="12">
                  <c:v>513.16484689281469</c:v>
                </c:pt>
                <c:pt idx="13">
                  <c:v>506.39420754374225</c:v>
                </c:pt>
                <c:pt idx="14">
                  <c:v>480.69880067565367</c:v>
                </c:pt>
                <c:pt idx="15">
                  <c:v>402.99309622420441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'II.2.6'!$I$13</c:f>
              <c:strCache>
                <c:ptCount val="1"/>
                <c:pt idx="0">
                  <c:v>Segundo cuartil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7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'II.2.6'!$A$66:$A$81</c:f>
              <c:strCache>
                <c:ptCount val="16"/>
                <c:pt idx="0">
                  <c:v>México  3.28</c:v>
                </c:pt>
                <c:pt idx="1">
                  <c:v>Chile  2.92</c:v>
                </c:pt>
                <c:pt idx="2">
                  <c:v>Costa Rica  3.22</c:v>
                </c:pt>
                <c:pt idx="3">
                  <c:v>Uruguay  2.92</c:v>
                </c:pt>
                <c:pt idx="4">
                  <c:v>Brasil  3.04</c:v>
                </c:pt>
                <c:pt idx="5">
                  <c:v>Argentina  2.88</c:v>
                </c:pt>
                <c:pt idx="6">
                  <c:v>Colombia  3.06</c:v>
                </c:pt>
                <c:pt idx="7">
                  <c:v>Perú 3.20</c:v>
                </c:pt>
                <c:pt idx="9">
                  <c:v>Asia Pacífico 2.20</c:v>
                </c:pt>
                <c:pt idx="10">
                  <c:v>Países nórdicos 2.02</c:v>
                </c:pt>
                <c:pt idx="11">
                  <c:v>Países anglosajones 2.16</c:v>
                </c:pt>
                <c:pt idx="12">
                  <c:v>Europa Occidental 2.36</c:v>
                </c:pt>
                <c:pt idx="13">
                  <c:v>OECD average  2.30</c:v>
                </c:pt>
                <c:pt idx="14">
                  <c:v>Europa Oriental 2.24</c:v>
                </c:pt>
                <c:pt idx="15">
                  <c:v>América Latina 3.06</c:v>
                </c:pt>
              </c:strCache>
            </c:strRef>
          </c:cat>
          <c:val>
            <c:numRef>
              <c:f>'II.2.6'!$I$66:$I$81</c:f>
              <c:numCache>
                <c:formatCode>0</c:formatCode>
                <c:ptCount val="16"/>
                <c:pt idx="0">
                  <c:v>406.79337819147185</c:v>
                </c:pt>
                <c:pt idx="1">
                  <c:v>408.90141553785287</c:v>
                </c:pt>
                <c:pt idx="2">
                  <c:v>394.01764412367157</c:v>
                </c:pt>
                <c:pt idx="3">
                  <c:v>389.98931904289083</c:v>
                </c:pt>
                <c:pt idx="4">
                  <c:v>376.8109037378041</c:v>
                </c:pt>
                <c:pt idx="5">
                  <c:v>378.66480988077967</c:v>
                </c:pt>
                <c:pt idx="6">
                  <c:v>364.58713341835016</c:v>
                </c:pt>
                <c:pt idx="7">
                  <c:v>351.97892026253464</c:v>
                </c:pt>
                <c:pt idx="9">
                  <c:v>551.5400610104731</c:v>
                </c:pt>
                <c:pt idx="10">
                  <c:v>489.46552875127259</c:v>
                </c:pt>
                <c:pt idx="11">
                  <c:v>486.61964116252648</c:v>
                </c:pt>
                <c:pt idx="12">
                  <c:v>488.03744026101725</c:v>
                </c:pt>
                <c:pt idx="13">
                  <c:v>481.52984040940328</c:v>
                </c:pt>
                <c:pt idx="14">
                  <c:v>459.99414916109464</c:v>
                </c:pt>
                <c:pt idx="15">
                  <c:v>383.96794052441948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'II.2.6'!$H$13</c:f>
              <c:strCache>
                <c:ptCount val="1"/>
                <c:pt idx="0">
                  <c:v>Cuartil inferior (el número indica la posición en el ranking)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4540315327716902E-2"/>
                  <c:y val="1.63981335422284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strRef>
                  <c:f>'II.2.6'!$M$28</c:f>
                  <c:strCache>
                    <c:ptCount val="1"/>
                    <c:pt idx="0">
                      <c:v>9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tx>
                <c:strRef>
                  <c:f>'II.2.6'!$M$33</c:f>
                  <c:strCache>
                    <c:ptCount val="1"/>
                    <c:pt idx="0">
                      <c:v>17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7"/>
              <c:tx>
                <c:strRef>
                  <c:f>'II.2.6'!$M$27</c:f>
                  <c:strCache>
                    <c:ptCount val="1"/>
                    <c:pt idx="0">
                      <c:v>18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8"/>
              <c:tx>
                <c:strRef>
                  <c:f>'Data_Figure II.2.6'!#¡REF!</c:f>
                  <c:strCache>
                    <c:ptCount val="1"/>
                    <c:pt idx="0">
                      <c:v>#REF!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9"/>
              <c:tx>
                <c:strRef>
                  <c:f>'II.2.6'!$M$34</c:f>
                  <c:strCache>
                    <c:ptCount val="1"/>
                    <c:pt idx="0">
                      <c:v>20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0"/>
              <c:tx>
                <c:strRef>
                  <c:f>'II.2.6'!$M$25</c:f>
                  <c:strCache>
                    <c:ptCount val="1"/>
                    <c:pt idx="0">
                      <c:v>21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1"/>
              <c:tx>
                <c:strRef>
                  <c:f>'II.2.6'!$M$26</c:f>
                  <c:strCache>
                    <c:ptCount val="1"/>
                    <c:pt idx="0">
                      <c:v>22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2"/>
              <c:tx>
                <c:strRef>
                  <c:f>'II.2.6'!$M$53</c:f>
                  <c:strCache>
                    <c:ptCount val="1"/>
                    <c:pt idx="0">
                      <c:v>23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3"/>
              <c:tx>
                <c:strRef>
                  <c:f>'II.2.6'!$M$30</c:f>
                  <c:strCache>
                    <c:ptCount val="1"/>
                    <c:pt idx="0">
                      <c:v>24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4"/>
              <c:tx>
                <c:strRef>
                  <c:f>'II.2.6'!$M$35</c:f>
                  <c:strCache>
                    <c:ptCount val="1"/>
                    <c:pt idx="0">
                      <c:v>25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5"/>
              <c:tx>
                <c:strRef>
                  <c:f>'II.2.6'!$M$52</c:f>
                  <c:strCache>
                    <c:ptCount val="1"/>
                    <c:pt idx="0">
                      <c:v>26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6"/>
              <c:tx>
                <c:strRef>
                  <c:f>'II.2.6'!#REF!</c:f>
                  <c:strCache>
                    <c:ptCount val="1"/>
                    <c:pt idx="0">
                      <c:v>#REF!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7"/>
              <c:tx>
                <c:strRef>
                  <c:f>'II.2.6'!$M$50</c:f>
                  <c:strCache>
                    <c:ptCount val="1"/>
                    <c:pt idx="0">
                      <c:v>27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8"/>
              <c:tx>
                <c:strRef>
                  <c:f>'II.2.6'!$M$42</c:f>
                  <c:strCache>
                    <c:ptCount val="1"/>
                    <c:pt idx="0">
                      <c:v>28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9"/>
              <c:tx>
                <c:strRef>
                  <c:f>'II.2.6'!$M$61</c:f>
                  <c:strCache>
                    <c:ptCount val="1"/>
                    <c:pt idx="0">
                      <c:v>29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0"/>
              <c:tx>
                <c:strRef>
                  <c:f>'II.2.6'!$M$47</c:f>
                  <c:strCache>
                    <c:ptCount val="1"/>
                    <c:pt idx="0">
                      <c:v>30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1"/>
              <c:tx>
                <c:strRef>
                  <c:f>'II.2.6'!$M$36</c:f>
                  <c:strCache>
                    <c:ptCount val="1"/>
                    <c:pt idx="0">
                      <c:v>32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2"/>
              <c:tx>
                <c:strRef>
                  <c:f>'II.2.6'!$M$37</c:f>
                  <c:strCache>
                    <c:ptCount val="1"/>
                    <c:pt idx="0">
                      <c:v>31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3"/>
              <c:tx>
                <c:strRef>
                  <c:f>'II.2.6'!$M$38</c:f>
                  <c:strCache>
                    <c:ptCount val="1"/>
                    <c:pt idx="0">
                      <c:v>33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4"/>
              <c:tx>
                <c:strRef>
                  <c:f>'II.2.6'!$M$48</c:f>
                  <c:strCache>
                    <c:ptCount val="1"/>
                    <c:pt idx="0">
                      <c:v>34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5"/>
              <c:tx>
                <c:strRef>
                  <c:f>'II.2.6'!$M$39</c:f>
                  <c:strCache>
                    <c:ptCount val="1"/>
                    <c:pt idx="0">
                      <c:v>35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6"/>
              <c:tx>
                <c:strRef>
                  <c:f>'II.2.6'!$M$62</c:f>
                  <c:strCache>
                    <c:ptCount val="1"/>
                    <c:pt idx="0">
                      <c:v>36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7"/>
              <c:tx>
                <c:strRef>
                  <c:f>'II.2.6'!$M$40</c:f>
                  <c:strCache>
                    <c:ptCount val="1"/>
                    <c:pt idx="0">
                      <c:v>37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8"/>
              <c:tx>
                <c:strRef>
                  <c:f>'II.2.6'!$M$63</c:f>
                  <c:strCache>
                    <c:ptCount val="1"/>
                    <c:pt idx="0">
                      <c:v>38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9"/>
              <c:tx>
                <c:strRef>
                  <c:f>'II.2.6'!$M$64</c:f>
                  <c:strCache>
                    <c:ptCount val="1"/>
                    <c:pt idx="0">
                      <c:v>39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0"/>
              <c:tx>
                <c:strRef>
                  <c:f>'II.2.6'!$M$60</c:f>
                  <c:strCache>
                    <c:ptCount val="1"/>
                    <c:pt idx="0">
                      <c:v>40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1"/>
              <c:tx>
                <c:strRef>
                  <c:f>'II.2.6'!$M$55</c:f>
                  <c:strCache>
                    <c:ptCount val="1"/>
                    <c:pt idx="0">
                      <c:v>41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2"/>
              <c:tx>
                <c:strRef>
                  <c:f>'II.2.6'!$M$41</c:f>
                  <c:strCache>
                    <c:ptCount val="1"/>
                    <c:pt idx="0">
                      <c:v>42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3"/>
              <c:tx>
                <c:strRef>
                  <c:f>'II.2.6'!$M$84</c:f>
                  <c:strCache>
                    <c:ptCount val="1"/>
                    <c:pt idx="0">
                      <c:v>43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4"/>
              <c:tx>
                <c:strRef>
                  <c:f>'II.2.6'!$M$85</c:f>
                  <c:strCache>
                    <c:ptCount val="1"/>
                    <c:pt idx="0">
                      <c:v>44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5"/>
              <c:tx>
                <c:strRef>
                  <c:f>'II.2.6'!$M$56</c:f>
                  <c:strCache>
                    <c:ptCount val="1"/>
                    <c:pt idx="0">
                      <c:v>45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6"/>
              <c:tx>
                <c:strRef>
                  <c:f>'II.2.6'!$M$86</c:f>
                  <c:strCache>
                    <c:ptCount val="1"/>
                    <c:pt idx="0">
                      <c:v>46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7"/>
              <c:tx>
                <c:strRef>
                  <c:f>'II.2.6'!$M$57</c:f>
                  <c:strCache>
                    <c:ptCount val="1"/>
                    <c:pt idx="0">
                      <c:v>47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8"/>
              <c:tx>
                <c:strRef>
                  <c:f>'II.2.6'!$M$92</c:f>
                  <c:strCache>
                    <c:ptCount val="1"/>
                    <c:pt idx="0">
                      <c:v>48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9"/>
              <c:tx>
                <c:strRef>
                  <c:f>'II.2.6'!$M$93</c:f>
                  <c:strCache>
                    <c:ptCount val="1"/>
                    <c:pt idx="0">
                      <c:v>49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0"/>
              <c:tx>
                <c:strRef>
                  <c:f>'II.2.6'!$M$66</c:f>
                  <c:strCache>
                    <c:ptCount val="1"/>
                    <c:pt idx="0">
                      <c:v>50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1"/>
              <c:tx>
                <c:strRef>
                  <c:f>'II.2.6'!$M$58</c:f>
                  <c:strCache>
                    <c:ptCount val="1"/>
                    <c:pt idx="0">
                      <c:v>51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2"/>
              <c:tx>
                <c:strRef>
                  <c:f>'II.2.6'!$M$67</c:f>
                  <c:strCache>
                    <c:ptCount val="1"/>
                    <c:pt idx="0">
                      <c:v>52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3"/>
              <c:tx>
                <c:strRef>
                  <c:f>'II.2.6'!$M$59</c:f>
                  <c:strCache>
                    <c:ptCount val="1"/>
                    <c:pt idx="0">
                      <c:v>53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4"/>
              <c:tx>
                <c:strRef>
                  <c:f>'II.2.6'!$M$68</c:f>
                  <c:strCache>
                    <c:ptCount val="1"/>
                    <c:pt idx="0">
                      <c:v>54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5"/>
              <c:tx>
                <c:strRef>
                  <c:f>'II.2.6'!$M$69</c:f>
                  <c:strCache>
                    <c:ptCount val="1"/>
                    <c:pt idx="0">
                      <c:v>55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6"/>
              <c:tx>
                <c:strRef>
                  <c:f>'II.2.6'!$M$88</c:f>
                  <c:strCache>
                    <c:ptCount val="1"/>
                    <c:pt idx="0">
                      <c:v>56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7"/>
              <c:tx>
                <c:strRef>
                  <c:f>'II.2.6'!$M$89</c:f>
                  <c:strCache>
                    <c:ptCount val="1"/>
                    <c:pt idx="0">
                      <c:v>57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8"/>
              <c:tx>
                <c:strRef>
                  <c:f>'II.2.6'!$M$70</c:f>
                  <c:strCache>
                    <c:ptCount val="1"/>
                    <c:pt idx="0">
                      <c:v>58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9"/>
              <c:tx>
                <c:strRef>
                  <c:f>'II.2.6'!$M$91</c:f>
                  <c:strCache>
                    <c:ptCount val="1"/>
                    <c:pt idx="0">
                      <c:v>59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0"/>
              <c:tx>
                <c:strRef>
                  <c:f>'II.2.6'!$M$71</c:f>
                  <c:strCache>
                    <c:ptCount val="1"/>
                    <c:pt idx="0">
                      <c:v>60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1"/>
              <c:tx>
                <c:strRef>
                  <c:f>'II.2.6'!$M$72</c:f>
                  <c:strCache>
                    <c:ptCount val="1"/>
                    <c:pt idx="0">
                      <c:v>61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2"/>
              <c:tx>
                <c:strRef>
                  <c:f>'II.2.6'!$M$87</c:f>
                  <c:strCache>
                    <c:ptCount val="1"/>
                    <c:pt idx="0">
                      <c:v>62</c:v>
                    </c:pt>
                  </c:strCache>
                </c:strRef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3"/>
              <c:layout>
                <c:manualLayout>
                  <c:x val="-6.1937362724764303E-3"/>
                  <c:y val="1.8739563913873984E-2"/>
                </c:manualLayout>
              </c:layout>
              <c:tx>
                <c:strRef>
                  <c:f>'II.2.6'!$M$73</c:f>
                  <c:strCache>
                    <c:ptCount val="1"/>
                    <c:pt idx="0">
                      <c:v>63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'II.2.6'!$A$66:$A$81</c:f>
              <c:strCache>
                <c:ptCount val="16"/>
                <c:pt idx="0">
                  <c:v>México  3.28</c:v>
                </c:pt>
                <c:pt idx="1">
                  <c:v>Chile  2.92</c:v>
                </c:pt>
                <c:pt idx="2">
                  <c:v>Costa Rica  3.22</c:v>
                </c:pt>
                <c:pt idx="3">
                  <c:v>Uruguay  2.92</c:v>
                </c:pt>
                <c:pt idx="4">
                  <c:v>Brasil  3.04</c:v>
                </c:pt>
                <c:pt idx="5">
                  <c:v>Argentina  2.88</c:v>
                </c:pt>
                <c:pt idx="6">
                  <c:v>Colombia  3.06</c:v>
                </c:pt>
                <c:pt idx="7">
                  <c:v>Perú 3.20</c:v>
                </c:pt>
                <c:pt idx="9">
                  <c:v>Asia Pacífico 2.20</c:v>
                </c:pt>
                <c:pt idx="10">
                  <c:v>Países nórdicos 2.02</c:v>
                </c:pt>
                <c:pt idx="11">
                  <c:v>Países anglosajones 2.16</c:v>
                </c:pt>
                <c:pt idx="12">
                  <c:v>Europa Occidental 2.36</c:v>
                </c:pt>
                <c:pt idx="13">
                  <c:v>OECD average  2.30</c:v>
                </c:pt>
                <c:pt idx="14">
                  <c:v>Europa Oriental 2.24</c:v>
                </c:pt>
                <c:pt idx="15">
                  <c:v>América Latina 3.06</c:v>
                </c:pt>
              </c:strCache>
            </c:strRef>
          </c:cat>
          <c:val>
            <c:numRef>
              <c:f>'II.2.6'!$H$66:$H$81</c:f>
              <c:numCache>
                <c:formatCode>0</c:formatCode>
                <c:ptCount val="16"/>
                <c:pt idx="0">
                  <c:v>384.5789870770476</c:v>
                </c:pt>
                <c:pt idx="1">
                  <c:v>377.60807939050994</c:v>
                </c:pt>
                <c:pt idx="2">
                  <c:v>372.80059364465103</c:v>
                </c:pt>
                <c:pt idx="3">
                  <c:v>364.34874037648552</c:v>
                </c:pt>
                <c:pt idx="4">
                  <c:v>359.56771285904176</c:v>
                </c:pt>
                <c:pt idx="5">
                  <c:v>354.52053285066751</c:v>
                </c:pt>
                <c:pt idx="6">
                  <c:v>342.98676040262905</c:v>
                </c:pt>
                <c:pt idx="7">
                  <c:v>317.2631181336493</c:v>
                </c:pt>
                <c:pt idx="9">
                  <c:v>521.50205834520159</c:v>
                </c:pt>
                <c:pt idx="10">
                  <c:v>467.81631609531064</c:v>
                </c:pt>
                <c:pt idx="11">
                  <c:v>458.62848594136392</c:v>
                </c:pt>
                <c:pt idx="12">
                  <c:v>456.13227700282829</c:v>
                </c:pt>
                <c:pt idx="13">
                  <c:v>452.10657417384084</c:v>
                </c:pt>
                <c:pt idx="14">
                  <c:v>431.77054265475425</c:v>
                </c:pt>
                <c:pt idx="15">
                  <c:v>359.20931559183521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16486528"/>
        <c:axId val="116488064"/>
      </c:lineChart>
      <c:catAx>
        <c:axId val="11648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16488064"/>
        <c:crosses val="autoZero"/>
        <c:auto val="1"/>
        <c:lblAlgn val="ctr"/>
        <c:lblOffset val="100"/>
        <c:tickLblSkip val="1"/>
        <c:noMultiLvlLbl val="0"/>
      </c:catAx>
      <c:valAx>
        <c:axId val="116488064"/>
        <c:scaling>
          <c:orientation val="minMax"/>
          <c:min val="3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16486528"/>
        <c:crosses val="autoZero"/>
        <c:crossBetween val="between"/>
        <c:majorUnit val="50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8.2836628754738989E-2"/>
          <c:y val="2.1090380006846966E-2"/>
          <c:w val="0.33979386544818474"/>
          <c:h val="0.23405587888470464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A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AR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'II.4.6'!$B$111</c:f>
              <c:strCache>
                <c:ptCount val="1"/>
                <c:pt idx="0">
                  <c:v>Escuelas desaventajadas</c:v>
                </c:pt>
              </c:strCache>
            </c:strRef>
          </c:tx>
          <c:invertIfNegative val="0"/>
          <c:dLbls>
            <c:numFmt formatCode="#,##0" sourceLinked="0"/>
            <c:txPr>
              <a:bodyPr rot="-5400000" vert="horz"/>
              <a:lstStyle/>
              <a:p>
                <a:pPr>
                  <a:defRPr/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'II.4.6'!$A$112:$A$128</c:f>
              <c:strCache>
                <c:ptCount val="17"/>
                <c:pt idx="0">
                  <c:v>Colombia</c:v>
                </c:pt>
                <c:pt idx="1">
                  <c:v>Chile</c:v>
                </c:pt>
                <c:pt idx="2">
                  <c:v>Brasil</c:v>
                </c:pt>
                <c:pt idx="3">
                  <c:v>México</c:v>
                </c:pt>
                <c:pt idx="4">
                  <c:v>Perú</c:v>
                </c:pt>
                <c:pt idx="5">
                  <c:v>Costa Rica</c:v>
                </c:pt>
                <c:pt idx="6">
                  <c:v>Argentina</c:v>
                </c:pt>
                <c:pt idx="7">
                  <c:v>Uruguay</c:v>
                </c:pt>
                <c:pt idx="10">
                  <c:v>Anglosajones</c:v>
                </c:pt>
                <c:pt idx="11">
                  <c:v>Asia Pacífico</c:v>
                </c:pt>
                <c:pt idx="12">
                  <c:v>Países nórdicos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  <c:pt idx="16">
                  <c:v>Europa Occidental</c:v>
                </c:pt>
              </c:strCache>
            </c:strRef>
          </c:cat>
          <c:val>
            <c:numRef>
              <c:f>'II.4.6'!$B$112:$B$127</c:f>
              <c:numCache>
                <c:formatCode>#.#00</c:formatCode>
                <c:ptCount val="16"/>
                <c:pt idx="0">
                  <c:v>92.166738183959225</c:v>
                </c:pt>
                <c:pt idx="1">
                  <c:v>87.972556049042723</c:v>
                </c:pt>
                <c:pt idx="2">
                  <c:v>87.879872934422224</c:v>
                </c:pt>
                <c:pt idx="3">
                  <c:v>87.46587507891546</c:v>
                </c:pt>
                <c:pt idx="4">
                  <c:v>83.133619791302763</c:v>
                </c:pt>
                <c:pt idx="5">
                  <c:v>72.328492870440513</c:v>
                </c:pt>
                <c:pt idx="6">
                  <c:v>15.376603488426554</c:v>
                </c:pt>
                <c:pt idx="7">
                  <c:v>7.4980094072860943</c:v>
                </c:pt>
                <c:pt idx="10">
                  <c:v>95.306252436161543</c:v>
                </c:pt>
                <c:pt idx="11">
                  <c:v>94.989445336931141</c:v>
                </c:pt>
                <c:pt idx="12">
                  <c:v>84.657254620514863</c:v>
                </c:pt>
                <c:pt idx="13">
                  <c:v>81.410060640007202</c:v>
                </c:pt>
                <c:pt idx="14">
                  <c:v>78.069270335001235</c:v>
                </c:pt>
                <c:pt idx="15">
                  <c:v>66.72772097547444</c:v>
                </c:pt>
              </c:numCache>
            </c:numRef>
          </c:val>
        </c:ser>
        <c:ser>
          <c:idx val="1"/>
          <c:order val="1"/>
          <c:tx>
            <c:strRef>
              <c:f>'II.4.6'!$C$111</c:f>
              <c:strCache>
                <c:ptCount val="1"/>
                <c:pt idx="0">
                  <c:v>Escuelas aventajadas</c:v>
                </c:pt>
              </c:strCache>
            </c:strRef>
          </c:tx>
          <c:invertIfNegative val="0"/>
          <c:dLbls>
            <c:numFmt formatCode="#,##0" sourceLinked="0"/>
            <c:txPr>
              <a:bodyPr rot="-5400000" vert="horz"/>
              <a:lstStyle/>
              <a:p>
                <a:pPr>
                  <a:defRPr/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'II.4.6'!$A$112:$A$128</c:f>
              <c:strCache>
                <c:ptCount val="17"/>
                <c:pt idx="0">
                  <c:v>Colombia</c:v>
                </c:pt>
                <c:pt idx="1">
                  <c:v>Chile</c:v>
                </c:pt>
                <c:pt idx="2">
                  <c:v>Brasil</c:v>
                </c:pt>
                <c:pt idx="3">
                  <c:v>México</c:v>
                </c:pt>
                <c:pt idx="4">
                  <c:v>Perú</c:v>
                </c:pt>
                <c:pt idx="5">
                  <c:v>Costa Rica</c:v>
                </c:pt>
                <c:pt idx="6">
                  <c:v>Argentina</c:v>
                </c:pt>
                <c:pt idx="7">
                  <c:v>Uruguay</c:v>
                </c:pt>
                <c:pt idx="10">
                  <c:v>Anglosajones</c:v>
                </c:pt>
                <c:pt idx="11">
                  <c:v>Asia Pacífico</c:v>
                </c:pt>
                <c:pt idx="12">
                  <c:v>Países nórdicos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  <c:pt idx="16">
                  <c:v>Europa Occidental</c:v>
                </c:pt>
              </c:strCache>
            </c:strRef>
          </c:cat>
          <c:val>
            <c:numRef>
              <c:f>'II.4.6'!$C$112:$C$127</c:f>
              <c:numCache>
                <c:formatCode>#.#00</c:formatCode>
                <c:ptCount val="16"/>
                <c:pt idx="0">
                  <c:v>90.051556568622871</c:v>
                </c:pt>
                <c:pt idx="1">
                  <c:v>94.965546634887389</c:v>
                </c:pt>
                <c:pt idx="2">
                  <c:v>87.135234703437604</c:v>
                </c:pt>
                <c:pt idx="3">
                  <c:v>87.870798227322254</c:v>
                </c:pt>
                <c:pt idx="4">
                  <c:v>78.063703766134523</c:v>
                </c:pt>
                <c:pt idx="5">
                  <c:v>83.329155548860882</c:v>
                </c:pt>
                <c:pt idx="6">
                  <c:v>23.788350926239975</c:v>
                </c:pt>
                <c:pt idx="7">
                  <c:v>12.005765154693384</c:v>
                </c:pt>
                <c:pt idx="10">
                  <c:v>96.945154615069782</c:v>
                </c:pt>
                <c:pt idx="11">
                  <c:v>96.49882062643232</c:v>
                </c:pt>
                <c:pt idx="12">
                  <c:v>91.837269396955165</c:v>
                </c:pt>
                <c:pt idx="13">
                  <c:v>88.790715940118417</c:v>
                </c:pt>
                <c:pt idx="14">
                  <c:v>84.271190394746128</c:v>
                </c:pt>
                <c:pt idx="15">
                  <c:v>69.651263941274863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6589312"/>
        <c:axId val="116590848"/>
      </c:barChart>
      <c:catAx>
        <c:axId val="11658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590848"/>
        <c:crosses val="autoZero"/>
        <c:auto val="1"/>
        <c:lblAlgn val="ctr"/>
        <c:lblOffset val="100"/>
        <c:noMultiLvlLbl val="0"/>
      </c:catAx>
      <c:valAx>
        <c:axId val="116590848"/>
        <c:scaling>
          <c:orientation val="minMax"/>
        </c:scaling>
        <c:delete val="0"/>
        <c:axPos val="l"/>
        <c:majorGridlines/>
        <c:numFmt formatCode="#.#00" sourceLinked="1"/>
        <c:majorTickMark val="out"/>
        <c:minorTickMark val="none"/>
        <c:tickLblPos val="nextTo"/>
        <c:crossAx val="11658931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50"/>
          </a:pPr>
          <a:endParaRPr lang="es-A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1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9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38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4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5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58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6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6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cat>
            <c:strRef>
              <c:f>III.1.2!$A$17:$A$81</c:f>
              <c:strCache>
                <c:ptCount val="63"/>
                <c:pt idx="0">
                  <c:v>Corea</c:v>
                </c:pt>
                <c:pt idx="4">
                  <c:v>Finlandia</c:v>
                </c:pt>
                <c:pt idx="11">
                  <c:v>Argentina</c:v>
                </c:pt>
                <c:pt idx="16">
                  <c:v>Estados Unidos</c:v>
                </c:pt>
                <c:pt idx="19">
                  <c:v>Promedio OCDE</c:v>
                </c:pt>
                <c:pt idx="25">
                  <c:v>Francia</c:v>
                </c:pt>
                <c:pt idx="33">
                  <c:v>Reino Unido</c:v>
                </c:pt>
                <c:pt idx="38">
                  <c:v>Brasil</c:v>
                </c:pt>
                <c:pt idx="40">
                  <c:v>Chile</c:v>
                </c:pt>
                <c:pt idx="52">
                  <c:v>Uruguay</c:v>
                </c:pt>
                <c:pt idx="58">
                  <c:v>México</c:v>
                </c:pt>
                <c:pt idx="60">
                  <c:v>Colombia</c:v>
                </c:pt>
                <c:pt idx="62">
                  <c:v>Perú</c:v>
                </c:pt>
              </c:strCache>
            </c:strRef>
          </c:cat>
          <c:val>
            <c:numRef>
              <c:f>III.1.2!$B$17:$B$81</c:f>
              <c:numCache>
                <c:formatCode>#.#00</c:formatCode>
                <c:ptCount val="65"/>
                <c:pt idx="0">
                  <c:v>60.433862130000001</c:v>
                </c:pt>
                <c:pt idx="1">
                  <c:v>63.39746358</c:v>
                </c:pt>
                <c:pt idx="2">
                  <c:v>64.365532270000003</c:v>
                </c:pt>
                <c:pt idx="3">
                  <c:v>66.595781840000001</c:v>
                </c:pt>
                <c:pt idx="4">
                  <c:v>66.881689719999997</c:v>
                </c:pt>
                <c:pt idx="5">
                  <c:v>67.675077689999995</c:v>
                </c:pt>
                <c:pt idx="6">
                  <c:v>68.430620079999997</c:v>
                </c:pt>
                <c:pt idx="7">
                  <c:v>72.225896230000004</c:v>
                </c:pt>
                <c:pt idx="8">
                  <c:v>74.585879239999997</c:v>
                </c:pt>
                <c:pt idx="9">
                  <c:v>75.193352750000003</c:v>
                </c:pt>
                <c:pt idx="10">
                  <c:v>75.559946080000003</c:v>
                </c:pt>
                <c:pt idx="11">
                  <c:v>76.950014159999995</c:v>
                </c:pt>
                <c:pt idx="12">
                  <c:v>77.504098209999995</c:v>
                </c:pt>
                <c:pt idx="13">
                  <c:v>77.905891019999999</c:v>
                </c:pt>
                <c:pt idx="14">
                  <c:v>78.514319790000002</c:v>
                </c:pt>
                <c:pt idx="15">
                  <c:v>79.397958700000004</c:v>
                </c:pt>
                <c:pt idx="16">
                  <c:v>79.658089500000003</c:v>
                </c:pt>
                <c:pt idx="17">
                  <c:v>79.735142030000006</c:v>
                </c:pt>
                <c:pt idx="18">
                  <c:v>79.749258650000002</c:v>
                </c:pt>
                <c:pt idx="19">
                  <c:v>79.839457302941184</c:v>
                </c:pt>
                <c:pt idx="20">
                  <c:v>79.932434459999996</c:v>
                </c:pt>
                <c:pt idx="21">
                  <c:v>80.061628420000005</c:v>
                </c:pt>
                <c:pt idx="22">
                  <c:v>80.435394540000004</c:v>
                </c:pt>
                <c:pt idx="23">
                  <c:v>80.890240169999998</c:v>
                </c:pt>
                <c:pt idx="24">
                  <c:v>80.943020750000002</c:v>
                </c:pt>
                <c:pt idx="25">
                  <c:v>80.966247629999998</c:v>
                </c:pt>
                <c:pt idx="26">
                  <c:v>81.227980880000004</c:v>
                </c:pt>
                <c:pt idx="27">
                  <c:v>81.509268160000005</c:v>
                </c:pt>
                <c:pt idx="28">
                  <c:v>81.786416009999996</c:v>
                </c:pt>
                <c:pt idx="29">
                  <c:v>81.880339550000002</c:v>
                </c:pt>
                <c:pt idx="30">
                  <c:v>82.271577469999997</c:v>
                </c:pt>
                <c:pt idx="31">
                  <c:v>82.332608120000003</c:v>
                </c:pt>
                <c:pt idx="32">
                  <c:v>83.077086660000006</c:v>
                </c:pt>
                <c:pt idx="33">
                  <c:v>83.231998189999999</c:v>
                </c:pt>
                <c:pt idx="34">
                  <c:v>83.653388379999996</c:v>
                </c:pt>
                <c:pt idx="35">
                  <c:v>83.839693659999995</c:v>
                </c:pt>
                <c:pt idx="36">
                  <c:v>84.484624229999994</c:v>
                </c:pt>
                <c:pt idx="37">
                  <c:v>84.592407649999998</c:v>
                </c:pt>
                <c:pt idx="38">
                  <c:v>84.742855599999999</c:v>
                </c:pt>
                <c:pt idx="39">
                  <c:v>84.994312590000007</c:v>
                </c:pt>
                <c:pt idx="40">
                  <c:v>85.04246345</c:v>
                </c:pt>
                <c:pt idx="41">
                  <c:v>85.408442050000005</c:v>
                </c:pt>
                <c:pt idx="42">
                  <c:v>85.807951770000003</c:v>
                </c:pt>
                <c:pt idx="43">
                  <c:v>86.079437889999994</c:v>
                </c:pt>
                <c:pt idx="44">
                  <c:v>86.275937200000001</c:v>
                </c:pt>
                <c:pt idx="45">
                  <c:v>86.407824270000006</c:v>
                </c:pt>
                <c:pt idx="46">
                  <c:v>86.547606740000006</c:v>
                </c:pt>
                <c:pt idx="47">
                  <c:v>86.642373539999994</c:v>
                </c:pt>
                <c:pt idx="48">
                  <c:v>86.869060829999995</c:v>
                </c:pt>
                <c:pt idx="49">
                  <c:v>86.971750119999996</c:v>
                </c:pt>
                <c:pt idx="50">
                  <c:v>87.137739479999993</c:v>
                </c:pt>
                <c:pt idx="51">
                  <c:v>87.257222999999996</c:v>
                </c:pt>
                <c:pt idx="52">
                  <c:v>87.547431590000002</c:v>
                </c:pt>
                <c:pt idx="53">
                  <c:v>87.906353179999996</c:v>
                </c:pt>
                <c:pt idx="54">
                  <c:v>88.643064870000003</c:v>
                </c:pt>
                <c:pt idx="55">
                  <c:v>90.387643560000001</c:v>
                </c:pt>
                <c:pt idx="56">
                  <c:v>90.455942379999996</c:v>
                </c:pt>
                <c:pt idx="57">
                  <c:v>90.639301649999993</c:v>
                </c:pt>
                <c:pt idx="58">
                  <c:v>90.923604389999994</c:v>
                </c:pt>
                <c:pt idx="59">
                  <c:v>91.428904169999996</c:v>
                </c:pt>
                <c:pt idx="60">
                  <c:v>92.172138700000005</c:v>
                </c:pt>
                <c:pt idx="61">
                  <c:v>93.53093131</c:v>
                </c:pt>
                <c:pt idx="62">
                  <c:v>93.591122200000001</c:v>
                </c:pt>
                <c:pt idx="63">
                  <c:v>93.990617790000002</c:v>
                </c:pt>
                <c:pt idx="64">
                  <c:v>95.747410959999996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85312"/>
        <c:axId val="117086848"/>
      </c:barChart>
      <c:catAx>
        <c:axId val="1170853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s-AR"/>
          </a:p>
        </c:txPr>
        <c:crossAx val="117086848"/>
        <c:crosses val="autoZero"/>
        <c:auto val="1"/>
        <c:lblAlgn val="ctr"/>
        <c:lblOffset val="100"/>
        <c:noMultiLvlLbl val="0"/>
      </c:catAx>
      <c:valAx>
        <c:axId val="117086848"/>
        <c:scaling>
          <c:orientation val="minMax"/>
        </c:scaling>
        <c:delete val="0"/>
        <c:axPos val="b"/>
        <c:majorGridlines/>
        <c:numFmt formatCode="#.#00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s-AR"/>
          </a:p>
        </c:txPr>
        <c:crossAx val="117085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gasto!$B$23</c:f>
              <c:strCache>
                <c:ptCount val="1"/>
                <c:pt idx="0">
                  <c:v>2000</c:v>
                </c:pt>
              </c:strCache>
            </c:strRef>
          </c:tx>
          <c:dLbls>
            <c:delete val="1"/>
          </c:dLbls>
          <c:cat>
            <c:strRef>
              <c:f>gasto!$A$24:$A$30</c:f>
              <c:strCache>
                <c:ptCount val="7"/>
                <c:pt idx="0">
                  <c:v>Argentina**</c:v>
                </c:pt>
                <c:pt idx="1">
                  <c:v>Brazil***</c:v>
                </c:pt>
                <c:pt idx="2">
                  <c:v>Mexico***</c:v>
                </c:pt>
                <c:pt idx="3">
                  <c:v>Chile</c:v>
                </c:pt>
                <c:pt idx="4">
                  <c:v>Uruguay**</c:v>
                </c:pt>
                <c:pt idx="5">
                  <c:v>Colombia</c:v>
                </c:pt>
                <c:pt idx="6">
                  <c:v>Peru*</c:v>
                </c:pt>
              </c:strCache>
            </c:strRef>
          </c:cat>
          <c:val>
            <c:numRef>
              <c:f>gasto!$B$24:$B$30</c:f>
              <c:numCache>
                <c:formatCode>0</c:formatCode>
                <c:ptCount val="7"/>
                <c:pt idx="0">
                  <c:v>4.5975999999999999</c:v>
                </c:pt>
                <c:pt idx="1">
                  <c:v>4.0145799999999996</c:v>
                </c:pt>
                <c:pt idx="2">
                  <c:v>4.08317</c:v>
                </c:pt>
                <c:pt idx="3">
                  <c:v>3.7059799999999998</c:v>
                </c:pt>
                <c:pt idx="4">
                  <c:v>2.4225500000000002</c:v>
                </c:pt>
                <c:pt idx="5">
                  <c:v>3.5112100000000002</c:v>
                </c:pt>
                <c:pt idx="6">
                  <c:v>2.9298000000000002</c:v>
                </c:pt>
              </c:numCache>
            </c:numRef>
          </c:val>
        </c:ser>
        <c:ser>
          <c:idx val="1"/>
          <c:order val="1"/>
          <c:tx>
            <c:strRef>
              <c:f>gasto!$C$23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2.7777777777777828E-2"/>
                  <c:y val="5.0925925925925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6572E-3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gasto!$A$24:$A$30</c:f>
              <c:strCache>
                <c:ptCount val="7"/>
                <c:pt idx="0">
                  <c:v>Argentina**</c:v>
                </c:pt>
                <c:pt idx="1">
                  <c:v>Brazil***</c:v>
                </c:pt>
                <c:pt idx="2">
                  <c:v>Mexico***</c:v>
                </c:pt>
                <c:pt idx="3">
                  <c:v>Chile</c:v>
                </c:pt>
                <c:pt idx="4">
                  <c:v>Uruguay**</c:v>
                </c:pt>
                <c:pt idx="5">
                  <c:v>Colombia</c:v>
                </c:pt>
                <c:pt idx="6">
                  <c:v>Peru*</c:v>
                </c:pt>
              </c:strCache>
            </c:strRef>
          </c:cat>
          <c:val>
            <c:numRef>
              <c:f>gasto!$C$24:$C$30</c:f>
              <c:numCache>
                <c:formatCode>0</c:formatCode>
                <c:ptCount val="7"/>
                <c:pt idx="0">
                  <c:v>6.2585600000000001</c:v>
                </c:pt>
                <c:pt idx="1">
                  <c:v>5.8222500000000004</c:v>
                </c:pt>
                <c:pt idx="2">
                  <c:v>5.2129700000000003</c:v>
                </c:pt>
                <c:pt idx="3">
                  <c:v>4.5215399999999999</c:v>
                </c:pt>
                <c:pt idx="4">
                  <c:v>4.4985600000000003</c:v>
                </c:pt>
                <c:pt idx="5">
                  <c:v>4.3837700000000002</c:v>
                </c:pt>
                <c:pt idx="6">
                  <c:v>2.7604600000000001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02785408"/>
        <c:axId val="102805504"/>
      </c:radarChart>
      <c:catAx>
        <c:axId val="10278540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02805504"/>
        <c:crosses val="autoZero"/>
        <c:auto val="1"/>
        <c:lblAlgn val="ctr"/>
        <c:lblOffset val="100"/>
        <c:noMultiLvlLbl val="0"/>
      </c:catAx>
      <c:valAx>
        <c:axId val="102805504"/>
        <c:scaling>
          <c:orientation val="minMax"/>
        </c:scaling>
        <c:delete val="0"/>
        <c:axPos val="l"/>
        <c:majorGridlines/>
        <c:numFmt formatCode="0" sourceLinked="1"/>
        <c:majorTickMark val="cross"/>
        <c:minorTickMark val="none"/>
        <c:tickLblPos val="nextTo"/>
        <c:crossAx val="102785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'Government expenditure per stud'!$B$5</c:f>
              <c:strCache>
                <c:ptCount val="1"/>
                <c:pt idx="0">
                  <c:v>2000</c:v>
                </c:pt>
              </c:strCache>
            </c:strRef>
          </c:tx>
          <c:spPr>
            <a:noFill/>
            <a:ln>
              <a:solidFill>
                <a:schemeClr val="tx1"/>
              </a:solidFill>
              <a:prstDash val="sysDash"/>
            </a:ln>
          </c:spPr>
          <c:invertIfNegative val="0"/>
          <c:cat>
            <c:strRef>
              <c:f>'Government expenditure per stud'!$A$6:$A$12</c:f>
              <c:strCache>
                <c:ptCount val="7"/>
                <c:pt idx="0">
                  <c:v>Argentina</c:v>
                </c:pt>
                <c:pt idx="1">
                  <c:v>Chile</c:v>
                </c:pt>
                <c:pt idx="2">
                  <c:v>Colombia</c:v>
                </c:pt>
                <c:pt idx="3">
                  <c:v>Costa Rica***</c:v>
                </c:pt>
                <c:pt idx="4">
                  <c:v>Mexico**</c:v>
                </c:pt>
                <c:pt idx="5">
                  <c:v>Peru*</c:v>
                </c:pt>
                <c:pt idx="6">
                  <c:v>Uruguay</c:v>
                </c:pt>
              </c:strCache>
            </c:strRef>
          </c:cat>
          <c:val>
            <c:numRef>
              <c:f>'Government expenditure per stud'!$B$6:$B$12</c:f>
              <c:numCache>
                <c:formatCode>0</c:formatCode>
                <c:ptCount val="7"/>
                <c:pt idx="0">
                  <c:v>12.760960000000001</c:v>
                </c:pt>
                <c:pt idx="1">
                  <c:v>13.69913</c:v>
                </c:pt>
                <c:pt idx="2">
                  <c:v>11.95551</c:v>
                </c:pt>
                <c:pt idx="3">
                  <c:v>14.56761</c:v>
                </c:pt>
                <c:pt idx="4">
                  <c:v>11.59057</c:v>
                </c:pt>
                <c:pt idx="5">
                  <c:v>6.97417</c:v>
                </c:pt>
                <c:pt idx="6">
                  <c:v>7.2579000000000002</c:v>
                </c:pt>
              </c:numCache>
            </c:numRef>
          </c:val>
        </c:ser>
        <c:ser>
          <c:idx val="1"/>
          <c:order val="1"/>
          <c:tx>
            <c:strRef>
              <c:f>'Government expenditure per stud'!$C$5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70000"/>
              </a:schemeClr>
            </a:solidFill>
          </c:spPr>
          <c:invertIfNegative val="0"/>
          <c:dLbls>
            <c:dLbl>
              <c:idx val="6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'Government expenditure per stud'!$C$6:$C$12</c:f>
              <c:numCache>
                <c:formatCode>0</c:formatCode>
                <c:ptCount val="7"/>
                <c:pt idx="0">
                  <c:v>17.572569999999999</c:v>
                </c:pt>
                <c:pt idx="1">
                  <c:v>15.146000000000001</c:v>
                </c:pt>
                <c:pt idx="2">
                  <c:v>15.127090000000001</c:v>
                </c:pt>
                <c:pt idx="3">
                  <c:v>14.577540000000001</c:v>
                </c:pt>
                <c:pt idx="4">
                  <c:v>14.83479</c:v>
                </c:pt>
                <c:pt idx="5">
                  <c:v>7.9285899999999998</c:v>
                </c:pt>
                <c:pt idx="6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2820480"/>
        <c:axId val="105257600"/>
      </c:barChart>
      <c:catAx>
        <c:axId val="10282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257600"/>
        <c:crosses val="autoZero"/>
        <c:auto val="1"/>
        <c:lblAlgn val="ctr"/>
        <c:lblOffset val="100"/>
        <c:noMultiLvlLbl val="0"/>
      </c:catAx>
      <c:valAx>
        <c:axId val="105257600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02820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94219483175809"/>
          <c:y val="3.0088248101407415E-2"/>
          <c:w val="0.63024265639849975"/>
          <c:h val="0.85814706951585384"/>
        </c:manualLayout>
      </c:layout>
      <c:barChart>
        <c:barDir val="bar"/>
        <c:grouping val="stacked"/>
        <c:varyColors val="0"/>
        <c:ser>
          <c:idx val="4"/>
          <c:order val="0"/>
          <c:tx>
            <c:strRef>
              <c:f>'I.2.22_C'!$P$65</c:f>
              <c:strCache>
                <c:ptCount val="1"/>
                <c:pt idx="0">
                  <c:v>Nivel 1 o menor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invertIfNegative val="0"/>
          <c:dPt>
            <c:idx val="15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100"/>
                      <a:t>34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100"/>
                      <a:t>39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100"/>
                      <a:t>47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100"/>
                      <a:t>47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100"/>
                      <a:t>51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100"/>
                      <a:t>54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1100"/>
                      <a:t>56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sz="1100"/>
                      <a:t>68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 sz="1100"/>
                      <a:t>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 sz="1100"/>
                      <a:t>15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 sz="1100"/>
                      <a:t>17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 sz="1100"/>
                      <a:t>18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 sz="1100"/>
                      <a:t>18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 sz="1100"/>
                      <a:t>23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 sz="1100"/>
                      <a:t>50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'I.2.22_C'!$A$66:$A$81</c:f>
              <c:strCache>
                <c:ptCount val="16"/>
                <c:pt idx="0">
                  <c:v>Chile</c:v>
                </c:pt>
                <c:pt idx="1">
                  <c:v>Costa Rica</c:v>
                </c:pt>
                <c:pt idx="2">
                  <c:v>México</c:v>
                </c:pt>
                <c:pt idx="3">
                  <c:v>Uruguay</c:v>
                </c:pt>
                <c:pt idx="4">
                  <c:v>Argentina</c:v>
                </c:pt>
                <c:pt idx="5">
                  <c:v>Brasil</c:v>
                </c:pt>
                <c:pt idx="6">
                  <c:v>Colombia</c:v>
                </c:pt>
                <c:pt idx="7">
                  <c:v>Perú</c:v>
                </c:pt>
                <c:pt idx="9">
                  <c:v>Asia Pacífico</c:v>
                </c:pt>
                <c:pt idx="10">
                  <c:v>Países anglosajones</c:v>
                </c:pt>
                <c:pt idx="11">
                  <c:v>Europa Occidental</c:v>
                </c:pt>
                <c:pt idx="12">
                  <c:v>Países nórdicos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</c:strCache>
            </c:strRef>
          </c:cat>
          <c:val>
            <c:numRef>
              <c:f>'I.2.22_C'!$P$66:$P$81</c:f>
              <c:numCache>
                <c:formatCode>0</c:formatCode>
                <c:ptCount val="16"/>
                <c:pt idx="0">
                  <c:v>-34.487710179456045</c:v>
                </c:pt>
                <c:pt idx="1">
                  <c:v>-39.335883242224497</c:v>
                </c:pt>
                <c:pt idx="2">
                  <c:v>-47.01621572164153</c:v>
                </c:pt>
                <c:pt idx="3">
                  <c:v>-46.918131254583265</c:v>
                </c:pt>
                <c:pt idx="4">
                  <c:v>-50.862051965695564</c:v>
                </c:pt>
                <c:pt idx="5">
                  <c:v>-53.712197886244951</c:v>
                </c:pt>
                <c:pt idx="6">
                  <c:v>-56.15118589215929</c:v>
                </c:pt>
                <c:pt idx="7">
                  <c:v>-68.474769725146942</c:v>
                </c:pt>
                <c:pt idx="9">
                  <c:v>-6.9914365513289622</c:v>
                </c:pt>
                <c:pt idx="10">
                  <c:v>-14.686051767825401</c:v>
                </c:pt>
                <c:pt idx="11">
                  <c:v>-16.728727396047692</c:v>
                </c:pt>
                <c:pt idx="12">
                  <c:v>-18.049888604461884</c:v>
                </c:pt>
                <c:pt idx="13">
                  <c:v>-17.753537402783454</c:v>
                </c:pt>
                <c:pt idx="14">
                  <c:v>-22.797336235637321</c:v>
                </c:pt>
                <c:pt idx="15">
                  <c:v>-49.619768233394012</c:v>
                </c:pt>
              </c:numCache>
            </c:numRef>
          </c:val>
        </c:ser>
        <c:ser>
          <c:idx val="0"/>
          <c:order val="1"/>
          <c:tx>
            <c:strRef>
              <c:f>'I.2.22_C'!$Q$65</c:f>
              <c:strCache>
                <c:ptCount val="1"/>
                <c:pt idx="0">
                  <c:v>Nivel 2 o mayor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5"/>
            <c:invertIfNegative val="0"/>
            <c:bubble3D val="0"/>
            <c:spPr>
              <a:solidFill>
                <a:schemeClr val="tx2"/>
              </a:solidFill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'I.2.22_C'!$A$66:$A$81</c:f>
              <c:strCache>
                <c:ptCount val="16"/>
                <c:pt idx="0">
                  <c:v>Chile</c:v>
                </c:pt>
                <c:pt idx="1">
                  <c:v>Costa Rica</c:v>
                </c:pt>
                <c:pt idx="2">
                  <c:v>México</c:v>
                </c:pt>
                <c:pt idx="3">
                  <c:v>Uruguay</c:v>
                </c:pt>
                <c:pt idx="4">
                  <c:v>Argentina</c:v>
                </c:pt>
                <c:pt idx="5">
                  <c:v>Brasil</c:v>
                </c:pt>
                <c:pt idx="6">
                  <c:v>Colombia</c:v>
                </c:pt>
                <c:pt idx="7">
                  <c:v>Perú</c:v>
                </c:pt>
                <c:pt idx="9">
                  <c:v>Asia Pacífico</c:v>
                </c:pt>
                <c:pt idx="10">
                  <c:v>Países anglosajones</c:v>
                </c:pt>
                <c:pt idx="11">
                  <c:v>Europa Occidental</c:v>
                </c:pt>
                <c:pt idx="12">
                  <c:v>Países nórdicos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</c:strCache>
            </c:strRef>
          </c:cat>
          <c:val>
            <c:numRef>
              <c:f>'I.2.22_C'!$Q$66:$Q$81</c:f>
              <c:numCache>
                <c:formatCode>0</c:formatCode>
                <c:ptCount val="16"/>
                <c:pt idx="0">
                  <c:v>65.512289820543955</c:v>
                </c:pt>
                <c:pt idx="1">
                  <c:v>60.664116757775489</c:v>
                </c:pt>
                <c:pt idx="2">
                  <c:v>52.983784278358456</c:v>
                </c:pt>
                <c:pt idx="3">
                  <c:v>53.081868745416735</c:v>
                </c:pt>
                <c:pt idx="4">
                  <c:v>49.137948034304451</c:v>
                </c:pt>
                <c:pt idx="5">
                  <c:v>46.287678987194177</c:v>
                </c:pt>
                <c:pt idx="6">
                  <c:v>43.848814107840717</c:v>
                </c:pt>
                <c:pt idx="7">
                  <c:v>31.525230274853062</c:v>
                </c:pt>
                <c:pt idx="9">
                  <c:v>93.008563448671026</c:v>
                </c:pt>
                <c:pt idx="10">
                  <c:v>85.313948232174582</c:v>
                </c:pt>
                <c:pt idx="11">
                  <c:v>83.271272603952312</c:v>
                </c:pt>
                <c:pt idx="12">
                  <c:v>81.950111395538116</c:v>
                </c:pt>
                <c:pt idx="13">
                  <c:v>82.246462597216549</c:v>
                </c:pt>
                <c:pt idx="14">
                  <c:v>77.202663764362683</c:v>
                </c:pt>
                <c:pt idx="15">
                  <c:v>50.380216375785878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5308928"/>
        <c:axId val="105310464"/>
      </c:barChart>
      <c:catAx>
        <c:axId val="1053089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05310464"/>
        <c:crossesAt val="-100"/>
        <c:auto val="1"/>
        <c:lblAlgn val="ctr"/>
        <c:lblOffset val="100"/>
        <c:tickLblSkip val="1"/>
        <c:noMultiLvlLbl val="0"/>
      </c:catAx>
      <c:valAx>
        <c:axId val="105310464"/>
        <c:scaling>
          <c:orientation val="minMax"/>
          <c:max val="100"/>
          <c:min val="-100"/>
        </c:scaling>
        <c:delete val="0"/>
        <c:axPos val="t"/>
        <c:majorGridlines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AR" sz="1100"/>
                  <a:t>%</a:t>
                </a:r>
              </a:p>
            </c:rich>
          </c:tx>
          <c:layout>
            <c:manualLayout>
              <c:xMode val="edge"/>
              <c:yMode val="edge"/>
              <c:x val="0.47526784918248099"/>
              <c:y val="0.97194234679709401"/>
            </c:manualLayout>
          </c:layout>
          <c:overlay val="0"/>
        </c:title>
        <c:numFmt formatCode="General" sourceLinked="0"/>
        <c:majorTickMark val="none"/>
        <c:minorTickMark val="none"/>
        <c:tickLblPos val="high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05308928"/>
        <c:crosses val="autoZero"/>
        <c:crossBetween val="between"/>
        <c:majorUnit val="20"/>
      </c:valAx>
      <c:spPr>
        <a:ln w="25400">
          <a:solidFill>
            <a:sysClr val="windowText" lastClr="000000">
              <a:lumMod val="50000"/>
              <a:lumOff val="50000"/>
            </a:sys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AR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78826161161093"/>
          <c:y val="2.8108820757959955E-2"/>
          <c:w val="0.66024087587243119"/>
          <c:h val="0.89029275808936836"/>
        </c:manualLayout>
      </c:layout>
      <c:barChart>
        <c:barDir val="bar"/>
        <c:grouping val="stacked"/>
        <c:varyColors val="0"/>
        <c:ser>
          <c:idx val="4"/>
          <c:order val="0"/>
          <c:tx>
            <c:strRef>
              <c:f>'I.2.22_M'!$J$13</c:f>
              <c:strCache>
                <c:ptCount val="1"/>
                <c:pt idx="0">
                  <c:v>Nivel 1 y menor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invertIfNegative val="0"/>
          <c:dPt>
            <c:idx val="15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100"/>
                      <a:t>32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100"/>
                      <a:t>33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100"/>
                      <a:t>41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100"/>
                      <a:t>47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100"/>
                      <a:t>49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100"/>
                      <a:t>51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1100"/>
                      <a:t>54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sz="1100"/>
                      <a:t>60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 sz="1100"/>
                      <a:t>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 sz="1100"/>
                      <a:t>15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 sz="1100"/>
                      <a:t>16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 sz="1100"/>
                      <a:t>17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 sz="1100"/>
                      <a:t>18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 sz="1100"/>
                      <a:t>27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 sz="1100"/>
                      <a:t>46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'I.2.22_L'!$A$67:$A$82</c:f>
              <c:strCache>
                <c:ptCount val="16"/>
                <c:pt idx="0">
                  <c:v>Costa Rica</c:v>
                </c:pt>
                <c:pt idx="1">
                  <c:v>Chile</c:v>
                </c:pt>
                <c:pt idx="2">
                  <c:v>México</c:v>
                </c:pt>
                <c:pt idx="3">
                  <c:v>Uruguay</c:v>
                </c:pt>
                <c:pt idx="4">
                  <c:v>Brasil</c:v>
                </c:pt>
                <c:pt idx="5">
                  <c:v>Colombia</c:v>
                </c:pt>
                <c:pt idx="6">
                  <c:v>Argentina</c:v>
                </c:pt>
                <c:pt idx="7">
                  <c:v>Perú</c:v>
                </c:pt>
                <c:pt idx="9">
                  <c:v>Asia Pacífico</c:v>
                </c:pt>
                <c:pt idx="10">
                  <c:v>Países anglosajones</c:v>
                </c:pt>
                <c:pt idx="11">
                  <c:v>Países nórdicos</c:v>
                </c:pt>
                <c:pt idx="12">
                  <c:v>Europa Occidental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</c:strCache>
            </c:strRef>
          </c:cat>
          <c:val>
            <c:numRef>
              <c:f>'I.2.22_L'!$S$67:$S$82</c:f>
              <c:numCache>
                <c:formatCode>0</c:formatCode>
                <c:ptCount val="16"/>
                <c:pt idx="0">
                  <c:v>-32.382685335176419</c:v>
                </c:pt>
                <c:pt idx="1">
                  <c:v>-33.015332312709006</c:v>
                </c:pt>
                <c:pt idx="2">
                  <c:v>-41.076898191137488</c:v>
                </c:pt>
                <c:pt idx="3">
                  <c:v>-47.046185431299989</c:v>
                </c:pt>
                <c:pt idx="4">
                  <c:v>-49.191433084649873</c:v>
                </c:pt>
                <c:pt idx="5">
                  <c:v>-51.445892438036481</c:v>
                </c:pt>
                <c:pt idx="6">
                  <c:v>-53.564766428783877</c:v>
                </c:pt>
                <c:pt idx="7">
                  <c:v>-59.877544358734255</c:v>
                </c:pt>
                <c:pt idx="9">
                  <c:v>-8.0785182158115987</c:v>
                </c:pt>
                <c:pt idx="10">
                  <c:v>-14.917175478403664</c:v>
                </c:pt>
                <c:pt idx="11">
                  <c:v>-15.802446613816059</c:v>
                </c:pt>
                <c:pt idx="12">
                  <c:v>-16.915415817130395</c:v>
                </c:pt>
                <c:pt idx="13">
                  <c:v>-17.817573385867618</c:v>
                </c:pt>
                <c:pt idx="14">
                  <c:v>-26.933165901359246</c:v>
                </c:pt>
                <c:pt idx="15">
                  <c:v>-45.950092197565915</c:v>
                </c:pt>
              </c:numCache>
            </c:numRef>
          </c:val>
        </c:ser>
        <c:ser>
          <c:idx val="0"/>
          <c:order val="1"/>
          <c:tx>
            <c:strRef>
              <c:f>'I.2.22_L'!$T$16</c:f>
              <c:strCache>
                <c:ptCount val="1"/>
                <c:pt idx="0">
                  <c:v>Nivel 2 o mayor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5"/>
            <c:invertIfNegative val="0"/>
            <c:bubble3D val="0"/>
            <c:spPr>
              <a:solidFill>
                <a:schemeClr val="tx2"/>
              </a:solidFill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'I.2.22_L'!$A$67:$A$82</c:f>
              <c:strCache>
                <c:ptCount val="16"/>
                <c:pt idx="0">
                  <c:v>Costa Rica</c:v>
                </c:pt>
                <c:pt idx="1">
                  <c:v>Chile</c:v>
                </c:pt>
                <c:pt idx="2">
                  <c:v>México</c:v>
                </c:pt>
                <c:pt idx="3">
                  <c:v>Uruguay</c:v>
                </c:pt>
                <c:pt idx="4">
                  <c:v>Brasil</c:v>
                </c:pt>
                <c:pt idx="5">
                  <c:v>Colombia</c:v>
                </c:pt>
                <c:pt idx="6">
                  <c:v>Argentina</c:v>
                </c:pt>
                <c:pt idx="7">
                  <c:v>Perú</c:v>
                </c:pt>
                <c:pt idx="9">
                  <c:v>Asia Pacífico</c:v>
                </c:pt>
                <c:pt idx="10">
                  <c:v>Países anglosajones</c:v>
                </c:pt>
                <c:pt idx="11">
                  <c:v>Países nórdicos</c:v>
                </c:pt>
                <c:pt idx="12">
                  <c:v>Europa Occidental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</c:strCache>
            </c:strRef>
          </c:cat>
          <c:val>
            <c:numRef>
              <c:f>'I.2.22_L'!$T$67:$T$82</c:f>
              <c:numCache>
                <c:formatCode>0</c:formatCode>
                <c:ptCount val="16"/>
                <c:pt idx="0">
                  <c:v>67.617314664823581</c:v>
                </c:pt>
                <c:pt idx="1">
                  <c:v>66.984667687290994</c:v>
                </c:pt>
                <c:pt idx="2">
                  <c:v>58.923101808862512</c:v>
                </c:pt>
                <c:pt idx="3">
                  <c:v>52.953814568700011</c:v>
                </c:pt>
                <c:pt idx="4">
                  <c:v>50.808566915350127</c:v>
                </c:pt>
                <c:pt idx="5">
                  <c:v>48.554107561963519</c:v>
                </c:pt>
                <c:pt idx="6">
                  <c:v>46.435233571216123</c:v>
                </c:pt>
                <c:pt idx="7">
                  <c:v>40.122455641265745</c:v>
                </c:pt>
                <c:pt idx="9">
                  <c:v>91.921481784188401</c:v>
                </c:pt>
                <c:pt idx="10">
                  <c:v>85.082824521596336</c:v>
                </c:pt>
                <c:pt idx="11">
                  <c:v>84.197553386183941</c:v>
                </c:pt>
                <c:pt idx="12">
                  <c:v>83.084584182869605</c:v>
                </c:pt>
                <c:pt idx="13">
                  <c:v>82.182426614132382</c:v>
                </c:pt>
                <c:pt idx="14">
                  <c:v>73.066834098640754</c:v>
                </c:pt>
                <c:pt idx="15">
                  <c:v>54.049907802434085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1744512"/>
        <c:axId val="111746048"/>
      </c:barChart>
      <c:catAx>
        <c:axId val="1117445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11746048"/>
        <c:crossesAt val="-100"/>
        <c:auto val="1"/>
        <c:lblAlgn val="ctr"/>
        <c:lblOffset val="100"/>
        <c:tickLblSkip val="1"/>
        <c:noMultiLvlLbl val="0"/>
      </c:catAx>
      <c:valAx>
        <c:axId val="111746048"/>
        <c:scaling>
          <c:orientation val="minMax"/>
          <c:max val="100"/>
          <c:min val="-100"/>
        </c:scaling>
        <c:delete val="0"/>
        <c:axPos val="t"/>
        <c:majorGridlines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AR" sz="1100"/>
                  <a:t>%</a:t>
                </a:r>
              </a:p>
            </c:rich>
          </c:tx>
          <c:layout>
            <c:manualLayout>
              <c:xMode val="edge"/>
              <c:yMode val="edge"/>
              <c:x val="0.47526784918248099"/>
              <c:y val="0.97194234679709401"/>
            </c:manualLayout>
          </c:layout>
          <c:overlay val="0"/>
        </c:title>
        <c:numFmt formatCode="General" sourceLinked="0"/>
        <c:majorTickMark val="none"/>
        <c:minorTickMark val="none"/>
        <c:tickLblPos val="high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11744512"/>
        <c:crosses val="autoZero"/>
        <c:crossBetween val="between"/>
        <c:majorUnit val="20"/>
      </c:valAx>
      <c:spPr>
        <a:ln w="25400">
          <a:solidFill>
            <a:sysClr val="windowText" lastClr="000000">
              <a:lumMod val="50000"/>
              <a:lumOff val="50000"/>
            </a:sys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AR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22306851844791"/>
          <c:y val="5.9479256080114451E-2"/>
          <c:w val="0.67681498829040065"/>
          <c:h val="0.84870721784776904"/>
        </c:manualLayout>
      </c:layout>
      <c:barChart>
        <c:barDir val="bar"/>
        <c:grouping val="stacked"/>
        <c:varyColors val="0"/>
        <c:ser>
          <c:idx val="4"/>
          <c:order val="0"/>
          <c:tx>
            <c:strRef>
              <c:f>'I.2.22_M'!$J$13</c:f>
              <c:strCache>
                <c:ptCount val="1"/>
                <c:pt idx="0">
                  <c:v>Nivel 1 y menor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invertIfNegative val="0"/>
          <c:dPt>
            <c:idx val="15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'I.2.22_M'!$A$78:$A$93</c:f>
              <c:strCache>
                <c:ptCount val="16"/>
                <c:pt idx="0">
                  <c:v>Chile</c:v>
                </c:pt>
                <c:pt idx="1">
                  <c:v>México</c:v>
                </c:pt>
                <c:pt idx="2">
                  <c:v>Uruguay</c:v>
                </c:pt>
                <c:pt idx="3">
                  <c:v>Costa Rica</c:v>
                </c:pt>
                <c:pt idx="4">
                  <c:v>Argentina</c:v>
                </c:pt>
                <c:pt idx="5">
                  <c:v>Brasil</c:v>
                </c:pt>
                <c:pt idx="6">
                  <c:v>Colombia</c:v>
                </c:pt>
                <c:pt idx="7">
                  <c:v>Perú</c:v>
                </c:pt>
                <c:pt idx="9">
                  <c:v>Asia Pacífico</c:v>
                </c:pt>
                <c:pt idx="10">
                  <c:v>Países nórdicos</c:v>
                </c:pt>
                <c:pt idx="11">
                  <c:v>Europa Occidental</c:v>
                </c:pt>
                <c:pt idx="12">
                  <c:v>Países anglosajones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</c:strCache>
            </c:strRef>
          </c:cat>
          <c:val>
            <c:numRef>
              <c:f>'I.2.22_M'!$J$78:$J$93</c:f>
              <c:numCache>
                <c:formatCode>0</c:formatCode>
                <c:ptCount val="16"/>
                <c:pt idx="0">
                  <c:v>-51.542356825144282</c:v>
                </c:pt>
                <c:pt idx="1">
                  <c:v>-54.712198736610425</c:v>
                </c:pt>
                <c:pt idx="2">
                  <c:v>-55.78440600725375</c:v>
                </c:pt>
                <c:pt idx="3">
                  <c:v>-59.873202924528925</c:v>
                </c:pt>
                <c:pt idx="4">
                  <c:v>-66.484931118527101</c:v>
                </c:pt>
                <c:pt idx="5">
                  <c:v>-67.089089650918183</c:v>
                </c:pt>
                <c:pt idx="6">
                  <c:v>-73.817016483320884</c:v>
                </c:pt>
                <c:pt idx="7">
                  <c:v>-74.5813966948282</c:v>
                </c:pt>
                <c:pt idx="9">
                  <c:v>-9.1976293327661409</c:v>
                </c:pt>
                <c:pt idx="10">
                  <c:v>-19.993133100746192</c:v>
                </c:pt>
                <c:pt idx="11">
                  <c:v>-20.775090921618997</c:v>
                </c:pt>
                <c:pt idx="12">
                  <c:v>-20.759568456690403</c:v>
                </c:pt>
                <c:pt idx="13">
                  <c:v>-23.004786071958833</c:v>
                </c:pt>
                <c:pt idx="14">
                  <c:v>-31.708447575411185</c:v>
                </c:pt>
                <c:pt idx="15">
                  <c:v>-62.985574805141468</c:v>
                </c:pt>
              </c:numCache>
            </c:numRef>
          </c:val>
        </c:ser>
        <c:ser>
          <c:idx val="0"/>
          <c:order val="1"/>
          <c:tx>
            <c:strRef>
              <c:f>'I.2.22_M'!$I$13</c:f>
              <c:strCache>
                <c:ptCount val="1"/>
                <c:pt idx="0">
                  <c:v>Niveles 2, 3, 4, 5, 6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5"/>
            <c:invertIfNegative val="0"/>
            <c:bubble3D val="0"/>
            <c:spPr>
              <a:solidFill>
                <a:schemeClr val="tx2"/>
              </a:solidFill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'I.2.22_M'!$A$78:$A$93</c:f>
              <c:strCache>
                <c:ptCount val="16"/>
                <c:pt idx="0">
                  <c:v>Chile</c:v>
                </c:pt>
                <c:pt idx="1">
                  <c:v>México</c:v>
                </c:pt>
                <c:pt idx="2">
                  <c:v>Uruguay</c:v>
                </c:pt>
                <c:pt idx="3">
                  <c:v>Costa Rica</c:v>
                </c:pt>
                <c:pt idx="4">
                  <c:v>Argentina</c:v>
                </c:pt>
                <c:pt idx="5">
                  <c:v>Brasil</c:v>
                </c:pt>
                <c:pt idx="6">
                  <c:v>Colombia</c:v>
                </c:pt>
                <c:pt idx="7">
                  <c:v>Perú</c:v>
                </c:pt>
                <c:pt idx="9">
                  <c:v>Asia Pacífico</c:v>
                </c:pt>
                <c:pt idx="10">
                  <c:v>Países nórdicos</c:v>
                </c:pt>
                <c:pt idx="11">
                  <c:v>Europa Occidental</c:v>
                </c:pt>
                <c:pt idx="12">
                  <c:v>Países anglosajones</c:v>
                </c:pt>
                <c:pt idx="13">
                  <c:v>OCDE</c:v>
                </c:pt>
                <c:pt idx="14">
                  <c:v>Europa Oriental</c:v>
                </c:pt>
                <c:pt idx="15">
                  <c:v>América Latina</c:v>
                </c:pt>
              </c:strCache>
            </c:strRef>
          </c:cat>
          <c:val>
            <c:numRef>
              <c:f>'I.2.22_M'!$I$78:$I$93</c:f>
              <c:numCache>
                <c:formatCode>0</c:formatCode>
                <c:ptCount val="16"/>
                <c:pt idx="0">
                  <c:v>48.457643174855718</c:v>
                </c:pt>
                <c:pt idx="1">
                  <c:v>45.287801263389575</c:v>
                </c:pt>
                <c:pt idx="2">
                  <c:v>44.21559399274625</c:v>
                </c:pt>
                <c:pt idx="3">
                  <c:v>40.126797075471075</c:v>
                </c:pt>
                <c:pt idx="4">
                  <c:v>33.515068881472892</c:v>
                </c:pt>
                <c:pt idx="5">
                  <c:v>32.910910349081817</c:v>
                </c:pt>
                <c:pt idx="6">
                  <c:v>26.182983516679116</c:v>
                </c:pt>
                <c:pt idx="7">
                  <c:v>25.4186033051718</c:v>
                </c:pt>
                <c:pt idx="9">
                  <c:v>90.802370667233859</c:v>
                </c:pt>
                <c:pt idx="10">
                  <c:v>80.006866899253808</c:v>
                </c:pt>
                <c:pt idx="11">
                  <c:v>79.224909078381003</c:v>
                </c:pt>
                <c:pt idx="12">
                  <c:v>79.240431543309597</c:v>
                </c:pt>
                <c:pt idx="13">
                  <c:v>76.995213928041167</c:v>
                </c:pt>
                <c:pt idx="14">
                  <c:v>68.291552424588815</c:v>
                </c:pt>
                <c:pt idx="15">
                  <c:v>37.014425194858532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7944192"/>
        <c:axId val="107945344"/>
      </c:barChart>
      <c:catAx>
        <c:axId val="1079441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07945344"/>
        <c:crossesAt val="-100"/>
        <c:auto val="1"/>
        <c:lblAlgn val="ctr"/>
        <c:lblOffset val="100"/>
        <c:tickLblSkip val="1"/>
        <c:noMultiLvlLbl val="0"/>
      </c:catAx>
      <c:valAx>
        <c:axId val="107945344"/>
        <c:scaling>
          <c:orientation val="minMax"/>
          <c:max val="100"/>
          <c:min val="-100"/>
        </c:scaling>
        <c:delete val="0"/>
        <c:axPos val="t"/>
        <c:majorGridlines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AR"/>
                  <a:t>%</a:t>
                </a:r>
              </a:p>
            </c:rich>
          </c:tx>
          <c:layout>
            <c:manualLayout>
              <c:xMode val="edge"/>
              <c:yMode val="edge"/>
              <c:x val="0.47526784918248099"/>
              <c:y val="0.97194234679709401"/>
            </c:manualLayout>
          </c:layout>
          <c:overlay val="0"/>
        </c:title>
        <c:numFmt formatCode="General" sourceLinked="0"/>
        <c:majorTickMark val="none"/>
        <c:minorTickMark val="none"/>
        <c:tickLblPos val="high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AR"/>
          </a:p>
        </c:txPr>
        <c:crossAx val="107944192"/>
        <c:crosses val="autoZero"/>
        <c:crossBetween val="between"/>
        <c:majorUnit val="20"/>
      </c:valAx>
      <c:spPr>
        <a:ln w="25400">
          <a:solidFill>
            <a:sysClr val="windowText" lastClr="000000">
              <a:lumMod val="50000"/>
              <a:lumOff val="50000"/>
            </a:sys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AR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'Gráfico Evolución'!$N$58</c:f>
              <c:strCache>
                <c:ptCount val="1"/>
                <c:pt idx="0">
                  <c:v>Argentina</c:v>
                </c:pt>
              </c:strCache>
            </c:strRef>
          </c:tx>
          <c:spPr>
            <a:ln w="47625">
              <a:prstDash val="sysDash"/>
            </a:ln>
          </c:spPr>
          <c:marker>
            <c:symbol val="diamond"/>
            <c:size val="7"/>
          </c:marker>
          <c:cat>
            <c:numRef>
              <c:f>'Gráfico Evolución'!$O$57:$R$57</c:f>
              <c:numCache>
                <c:formatCode>General</c:formatCode>
                <c:ptCount val="4"/>
                <c:pt idx="0">
                  <c:v>2000</c:v>
                </c:pt>
                <c:pt idx="1">
                  <c:v>2006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'Gráfico Evolución'!$O$58:$R$58</c:f>
              <c:numCache>
                <c:formatCode>0</c:formatCode>
                <c:ptCount val="4"/>
                <c:pt idx="0">
                  <c:v>400.66666666666669</c:v>
                </c:pt>
                <c:pt idx="1">
                  <c:v>382</c:v>
                </c:pt>
                <c:pt idx="2">
                  <c:v>395.66666666666669</c:v>
                </c:pt>
                <c:pt idx="3">
                  <c:v>396.66666666666669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'Gráfico Evolución'!$N$59</c:f>
              <c:strCache>
                <c:ptCount val="1"/>
                <c:pt idx="0">
                  <c:v>Brasil</c:v>
                </c:pt>
              </c:strCache>
            </c:strRef>
          </c:tx>
          <c:marker>
            <c:spPr>
              <a:ln w="3175"/>
            </c:spPr>
          </c:marker>
          <c:cat>
            <c:numRef>
              <c:f>'Gráfico Evolución'!$O$57:$R$57</c:f>
              <c:numCache>
                <c:formatCode>General</c:formatCode>
                <c:ptCount val="4"/>
                <c:pt idx="0">
                  <c:v>2000</c:v>
                </c:pt>
                <c:pt idx="1">
                  <c:v>2006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'Gráfico Evolución'!$O$59:$R$59</c:f>
              <c:numCache>
                <c:formatCode>0</c:formatCode>
                <c:ptCount val="4"/>
                <c:pt idx="0">
                  <c:v>373</c:v>
                </c:pt>
                <c:pt idx="1">
                  <c:v>384.33333333333331</c:v>
                </c:pt>
                <c:pt idx="2">
                  <c:v>401</c:v>
                </c:pt>
                <c:pt idx="3">
                  <c:v>402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'Gráfico Evolución'!$N$60</c:f>
              <c:strCache>
                <c:ptCount val="1"/>
                <c:pt idx="0">
                  <c:v>Chile</c:v>
                </c:pt>
              </c:strCache>
            </c:strRef>
          </c:tx>
          <c:cat>
            <c:numRef>
              <c:f>'Gráfico Evolución'!$O$57:$R$57</c:f>
              <c:numCache>
                <c:formatCode>General</c:formatCode>
                <c:ptCount val="4"/>
                <c:pt idx="0">
                  <c:v>2000</c:v>
                </c:pt>
                <c:pt idx="1">
                  <c:v>2006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'Gráfico Evolución'!$O$60:$R$60</c:f>
              <c:numCache>
                <c:formatCode>0</c:formatCode>
                <c:ptCount val="4"/>
                <c:pt idx="0">
                  <c:v>407</c:v>
                </c:pt>
                <c:pt idx="1">
                  <c:v>430.33333333333331</c:v>
                </c:pt>
                <c:pt idx="2">
                  <c:v>439</c:v>
                </c:pt>
                <c:pt idx="3">
                  <c:v>436.33333333333331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'Gráfico Evolución'!$N$61</c:f>
              <c:strCache>
                <c:ptCount val="1"/>
                <c:pt idx="0">
                  <c:v>México</c:v>
                </c:pt>
              </c:strCache>
            </c:strRef>
          </c:tx>
          <c:cat>
            <c:numRef>
              <c:f>'Gráfico Evolución'!$O$57:$R$57</c:f>
              <c:numCache>
                <c:formatCode>General</c:formatCode>
                <c:ptCount val="4"/>
                <c:pt idx="0">
                  <c:v>2000</c:v>
                </c:pt>
                <c:pt idx="1">
                  <c:v>2006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'Gráfico Evolución'!$O$61:$R$61</c:f>
              <c:numCache>
                <c:formatCode>0</c:formatCode>
                <c:ptCount val="4"/>
                <c:pt idx="0">
                  <c:v>410.66666666666669</c:v>
                </c:pt>
                <c:pt idx="1">
                  <c:v>408.66666666666669</c:v>
                </c:pt>
                <c:pt idx="2">
                  <c:v>420</c:v>
                </c:pt>
                <c:pt idx="3">
                  <c:v>417.33333333333331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'Gráfico Evolución'!$N$62</c:f>
              <c:strCache>
                <c:ptCount val="1"/>
                <c:pt idx="0">
                  <c:v>Perú</c:v>
                </c:pt>
              </c:strCache>
            </c:strRef>
          </c:tx>
          <c:cat>
            <c:numRef>
              <c:f>'Gráfico Evolución'!$O$57:$R$57</c:f>
              <c:numCache>
                <c:formatCode>General</c:formatCode>
                <c:ptCount val="4"/>
                <c:pt idx="0">
                  <c:v>2000</c:v>
                </c:pt>
                <c:pt idx="1">
                  <c:v>2006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'Gráfico Evolución'!$O$62:$R$62</c:f>
              <c:numCache>
                <c:formatCode>General</c:formatCode>
                <c:ptCount val="4"/>
                <c:pt idx="0" formatCode="0">
                  <c:v>317.33333333333331</c:v>
                </c:pt>
                <c:pt idx="1">
                  <c:v>342.66666666666663</c:v>
                </c:pt>
                <c:pt idx="2" formatCode="0">
                  <c:v>368</c:v>
                </c:pt>
                <c:pt idx="3" formatCode="0">
                  <c:v>375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'Gráfico Evolución'!$N$63</c:f>
              <c:strCache>
                <c:ptCount val="1"/>
                <c:pt idx="0">
                  <c:v>Uruguay</c:v>
                </c:pt>
              </c:strCache>
            </c:strRef>
          </c:tx>
          <c:cat>
            <c:numRef>
              <c:f>'Gráfico Evolución'!$O$57:$R$57</c:f>
              <c:numCache>
                <c:formatCode>General</c:formatCode>
                <c:ptCount val="4"/>
                <c:pt idx="0">
                  <c:v>2000</c:v>
                </c:pt>
                <c:pt idx="1">
                  <c:v>2006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'Gráfico Evolución'!$O$63:$R$63</c:f>
              <c:numCache>
                <c:formatCode>0</c:formatCode>
                <c:ptCount val="4"/>
                <c:pt idx="1">
                  <c:v>422.66666666666669</c:v>
                </c:pt>
                <c:pt idx="2">
                  <c:v>426.66666666666669</c:v>
                </c:pt>
                <c:pt idx="3">
                  <c:v>412</c:v>
                </c:pt>
              </c:numCache>
            </c:numRef>
          </c:val>
          <c:smooth val="0"/>
        </c:ser>
        <c:ser>
          <c:idx val="3"/>
          <c:order val="6"/>
          <c:tx>
            <c:strRef>
              <c:f>'Gráfico Evolución'!$A$64</c:f>
              <c:strCache>
                <c:ptCount val="1"/>
                <c:pt idx="0">
                  <c:v>Colombia</c:v>
                </c:pt>
              </c:strCache>
            </c:strRef>
          </c:tx>
          <c:val>
            <c:numRef>
              <c:f>'Gráfico Evolución'!$O$64:$R$64</c:f>
              <c:numCache>
                <c:formatCode>0</c:formatCode>
                <c:ptCount val="4"/>
                <c:pt idx="1">
                  <c:v>381</c:v>
                </c:pt>
                <c:pt idx="2">
                  <c:v>398.66666666666669</c:v>
                </c:pt>
                <c:pt idx="3">
                  <c:v>392.66666666666669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33312"/>
        <c:axId val="113534848"/>
      </c:lineChart>
      <c:catAx>
        <c:axId val="11353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534848"/>
        <c:crosses val="autoZero"/>
        <c:auto val="1"/>
        <c:lblAlgn val="ctr"/>
        <c:lblOffset val="100"/>
        <c:noMultiLvlLbl val="0"/>
      </c:catAx>
      <c:valAx>
        <c:axId val="113534848"/>
        <c:scaling>
          <c:orientation val="minMax"/>
          <c:min val="3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3533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/>
      </a:pPr>
      <a:endParaRPr lang="es-A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07174103237096E-2"/>
          <c:y val="4.214129483814523E-2"/>
          <c:w val="0.88337270341207352"/>
          <c:h val="0.73038385826771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'Table IV.5.1'!$C$32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'Table IV.5.1'!$B$34:$B$38</c:f>
              <c:strCache>
                <c:ptCount val="5"/>
                <c:pt idx="0">
                  <c:v>Chile</c:v>
                </c:pt>
                <c:pt idx="1">
                  <c:v>Argentina</c:v>
                </c:pt>
                <c:pt idx="2">
                  <c:v>Perú</c:v>
                </c:pt>
                <c:pt idx="3">
                  <c:v>Brasil</c:v>
                </c:pt>
                <c:pt idx="4">
                  <c:v>México</c:v>
                </c:pt>
              </c:strCache>
            </c:strRef>
          </c:cat>
          <c:val>
            <c:numRef>
              <c:f>'Table IV.5.1'!$C$34:$C$38</c:f>
              <c:numCache>
                <c:formatCode>0</c:formatCode>
                <c:ptCount val="5"/>
                <c:pt idx="0">
                  <c:v>46.99138483717293</c:v>
                </c:pt>
                <c:pt idx="1">
                  <c:v>53.007175664627077</c:v>
                </c:pt>
                <c:pt idx="2">
                  <c:v>47.194918694158751</c:v>
                </c:pt>
                <c:pt idx="3">
                  <c:v>66.260772353898844</c:v>
                </c:pt>
                <c:pt idx="4">
                  <c:v>60.123820226826567</c:v>
                </c:pt>
              </c:numCache>
            </c:numRef>
          </c:val>
        </c:ser>
        <c:ser>
          <c:idx val="1"/>
          <c:order val="1"/>
          <c:tx>
            <c:strRef>
              <c:f>'Table IV.5.1'!$D$32</c:f>
              <c:strCache>
                <c:ptCount val="1"/>
                <c:pt idx="0">
                  <c:v>2000</c:v>
                </c:pt>
              </c:strCache>
            </c:strRef>
          </c:tx>
          <c:spPr>
            <a:noFill/>
            <a:ln w="12700">
              <a:solidFill>
                <a:schemeClr val="tx1"/>
              </a:solidFill>
              <a:prstDash val="sysDash"/>
            </a:ln>
          </c:spPr>
          <c:invertIfNegative val="0"/>
          <c:cat>
            <c:strRef>
              <c:f>'Table IV.5.1'!$B$34:$B$38</c:f>
              <c:strCache>
                <c:ptCount val="5"/>
                <c:pt idx="0">
                  <c:v>Chile</c:v>
                </c:pt>
                <c:pt idx="1">
                  <c:v>Argentina</c:v>
                </c:pt>
                <c:pt idx="2">
                  <c:v>Perú</c:v>
                </c:pt>
                <c:pt idx="3">
                  <c:v>Brasil</c:v>
                </c:pt>
                <c:pt idx="4">
                  <c:v>México</c:v>
                </c:pt>
              </c:strCache>
            </c:strRef>
          </c:cat>
          <c:val>
            <c:numRef>
              <c:f>'Table IV.5.1'!$D$34:$D$38</c:f>
              <c:numCache>
                <c:formatCode>0</c:formatCode>
                <c:ptCount val="5"/>
                <c:pt idx="0">
                  <c:v>76.3</c:v>
                </c:pt>
                <c:pt idx="1">
                  <c:v>77.400000000000006</c:v>
                </c:pt>
                <c:pt idx="2">
                  <c:v>65.3</c:v>
                </c:pt>
                <c:pt idx="3">
                  <c:v>74.7</c:v>
                </c:pt>
                <c:pt idx="4">
                  <c:v>63.3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3557504"/>
        <c:axId val="113559040"/>
      </c:barChart>
      <c:catAx>
        <c:axId val="11355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559040"/>
        <c:crosses val="autoZero"/>
        <c:auto val="1"/>
        <c:lblAlgn val="ctr"/>
        <c:lblOffset val="100"/>
        <c:noMultiLvlLbl val="0"/>
      </c:catAx>
      <c:valAx>
        <c:axId val="113559040"/>
        <c:scaling>
          <c:orientation val="minMax"/>
          <c:max val="100"/>
        </c:scaling>
        <c:delete val="0"/>
        <c:axPos val="l"/>
        <c:numFmt formatCode="0" sourceLinked="1"/>
        <c:majorTickMark val="out"/>
        <c:minorTickMark val="none"/>
        <c:tickLblPos val="nextTo"/>
        <c:crossAx val="11355750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'Repit prim'!$B$22</c:f>
              <c:strCache>
                <c:ptCount val="1"/>
                <c:pt idx="0">
                  <c:v>2000</c:v>
                </c:pt>
              </c:strCache>
            </c:strRef>
          </c:tx>
          <c:spPr>
            <a:noFill/>
            <a:ln>
              <a:solidFill>
                <a:schemeClr val="tx1"/>
              </a:solidFill>
              <a:prstDash val="sysDash"/>
            </a:ln>
          </c:spPr>
          <c:invertIfNegative val="0"/>
          <c:dLbls>
            <c:dLbl>
              <c:idx val="6"/>
              <c:layout>
                <c:manualLayout>
                  <c:x val="-1.0185067526415994E-16"/>
                  <c:y val="8.33333333333334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'Repit prim'!$A$23:$A$29</c:f>
              <c:strCache>
                <c:ptCount val="7"/>
                <c:pt idx="0">
                  <c:v>Peru</c:v>
                </c:pt>
                <c:pt idx="1">
                  <c:v>Uruguay*</c:v>
                </c:pt>
                <c:pt idx="2">
                  <c:v>Mexico**</c:v>
                </c:pt>
                <c:pt idx="3">
                  <c:v>Colombia</c:v>
                </c:pt>
                <c:pt idx="4">
                  <c:v>Costa Rica</c:v>
                </c:pt>
                <c:pt idx="5">
                  <c:v>Argentina**</c:v>
                </c:pt>
                <c:pt idx="6">
                  <c:v>Chile</c:v>
                </c:pt>
              </c:strCache>
            </c:strRef>
          </c:cat>
          <c:val>
            <c:numRef>
              <c:f>'Repit prim'!$B$23:$B$29</c:f>
              <c:numCache>
                <c:formatCode>0</c:formatCode>
                <c:ptCount val="7"/>
                <c:pt idx="0">
                  <c:v>10.650169999999999</c:v>
                </c:pt>
                <c:pt idx="1">
                  <c:v>8.8985500000000002</c:v>
                </c:pt>
                <c:pt idx="2">
                  <c:v>6.2184100000000004</c:v>
                </c:pt>
                <c:pt idx="3">
                  <c:v>5.3544200000000002</c:v>
                </c:pt>
                <c:pt idx="4">
                  <c:v>8.0594400000000004</c:v>
                </c:pt>
                <c:pt idx="5">
                  <c:v>6.1503399999999999</c:v>
                </c:pt>
                <c:pt idx="6">
                  <c:v>2.0089899999999998</c:v>
                </c:pt>
              </c:numCache>
            </c:numRef>
          </c:val>
        </c:ser>
        <c:ser>
          <c:idx val="1"/>
          <c:order val="1"/>
          <c:tx>
            <c:strRef>
              <c:f>'Repit prim'!$C$22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70000"/>
              </a:schemeClr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'Repit prim'!$A$23:$A$29</c:f>
              <c:strCache>
                <c:ptCount val="7"/>
                <c:pt idx="0">
                  <c:v>Peru</c:v>
                </c:pt>
                <c:pt idx="1">
                  <c:v>Uruguay*</c:v>
                </c:pt>
                <c:pt idx="2">
                  <c:v>Mexico**</c:v>
                </c:pt>
                <c:pt idx="3">
                  <c:v>Colombia</c:v>
                </c:pt>
                <c:pt idx="4">
                  <c:v>Costa Rica</c:v>
                </c:pt>
                <c:pt idx="5">
                  <c:v>Argentina**</c:v>
                </c:pt>
                <c:pt idx="6">
                  <c:v>Chile</c:v>
                </c:pt>
              </c:strCache>
            </c:strRef>
          </c:cat>
          <c:val>
            <c:numRef>
              <c:f>'Repit prim'!$C$23:$C$29</c:f>
              <c:numCache>
                <c:formatCode>0</c:formatCode>
                <c:ptCount val="7"/>
                <c:pt idx="0">
                  <c:v>4.7796799999999999</c:v>
                </c:pt>
                <c:pt idx="1">
                  <c:v>5.5273000000000003</c:v>
                </c:pt>
                <c:pt idx="2">
                  <c:v>3.1295500000000001</c:v>
                </c:pt>
                <c:pt idx="3">
                  <c:v>2.4645700000000001</c:v>
                </c:pt>
                <c:pt idx="4">
                  <c:v>5.3304900000000002</c:v>
                </c:pt>
                <c:pt idx="5">
                  <c:v>4.2037199999999997</c:v>
                </c:pt>
                <c:pt idx="6">
                  <c:v>4.6870200000000004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5821568"/>
        <c:axId val="115839744"/>
      </c:barChart>
      <c:catAx>
        <c:axId val="11582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39744"/>
        <c:crosses val="autoZero"/>
        <c:auto val="1"/>
        <c:lblAlgn val="ctr"/>
        <c:lblOffset val="100"/>
        <c:noMultiLvlLbl val="0"/>
      </c:catAx>
      <c:valAx>
        <c:axId val="115839744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5821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0.23198</cdr:x>
      <cdr:y>0.52511</cdr:y>
    </cdr:from>
    <cdr:to>
      <cdr:x>0.45315</cdr:x>
      <cdr:y>0.6065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60634" y="2957655"/>
          <a:ext cx="1106541" cy="45840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65000"/>
          </a:schemeClr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US" sz="1000" b="1">
              <a:solidFill>
                <a:schemeClr val="bg1"/>
              </a:solidFill>
            </a:rPr>
            <a:t>Estudiantes con nivel  1 o menor</a:t>
          </a:r>
        </a:p>
      </cdr:txBody>
    </cdr:sp>
  </cdr:relSizeAnchor>
  <cdr:relSizeAnchor xmlns:cdr="http://schemas.openxmlformats.org/drawingml/2006/chartDrawing">
    <cdr:from>
      <cdr:x>0.64793</cdr:x>
      <cdr:y>0.39524</cdr:y>
    </cdr:from>
    <cdr:to>
      <cdr:x>0.85865</cdr:x>
      <cdr:y>0.46281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241692" y="2226169"/>
          <a:ext cx="1054263" cy="38060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chemeClr val="bg1"/>
              </a:solidFill>
            </a:rPr>
            <a:t>Estudiantes con nivel 2 o mayor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0.2444</cdr:x>
      <cdr:y>0.54391</cdr:y>
    </cdr:from>
    <cdr:to>
      <cdr:x>0.45042</cdr:x>
      <cdr:y>0.61574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38703" y="3162324"/>
          <a:ext cx="1128452" cy="41763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65000"/>
          </a:schemeClr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US" sz="1000" b="1">
              <a:solidFill>
                <a:schemeClr val="bg1"/>
              </a:solidFill>
            </a:rPr>
            <a:t>Estudiantes con nivel  1 o menor</a:t>
          </a:r>
        </a:p>
      </cdr:txBody>
    </cdr:sp>
  </cdr:relSizeAnchor>
  <cdr:relSizeAnchor xmlns:cdr="http://schemas.openxmlformats.org/drawingml/2006/chartDrawing">
    <cdr:from>
      <cdr:x>0.715</cdr:x>
      <cdr:y>0.39266</cdr:y>
    </cdr:from>
    <cdr:to>
      <cdr:x>0.90398</cdr:x>
      <cdr:y>0.45609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916393" y="2282936"/>
          <a:ext cx="1035170" cy="3688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chemeClr val="bg1"/>
              </a:solidFill>
            </a:rPr>
            <a:t>Estudiantes con nivel 2 o mayor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0.2098</cdr:x>
      <cdr:y>0.54443</cdr:y>
    </cdr:from>
    <cdr:to>
      <cdr:x>0.46404</cdr:x>
      <cdr:y>0.61609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6235" y="3338896"/>
          <a:ext cx="1219382" cy="4394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65000"/>
          </a:schemeClr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US" sz="1000" b="1">
              <a:solidFill>
                <a:schemeClr val="bg1"/>
              </a:solidFill>
            </a:rPr>
            <a:t>Estudiantes con nivel  1 o menor</a:t>
          </a:r>
        </a:p>
      </cdr:txBody>
    </cdr:sp>
  </cdr:relSizeAnchor>
  <cdr:relSizeAnchor xmlns:cdr="http://schemas.openxmlformats.org/drawingml/2006/chartDrawing">
    <cdr:from>
      <cdr:x>0.64379</cdr:x>
      <cdr:y>0.41268</cdr:y>
    </cdr:from>
    <cdr:to>
      <cdr:x>0.88616</cdr:x>
      <cdr:y>0.47716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359587" y="2751826"/>
          <a:ext cx="1264777" cy="42993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chemeClr val="bg1"/>
              </a:solidFill>
            </a:rPr>
            <a:t>Estudiantes con nivel 2 o mayor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0.29106</cdr:x>
      <cdr:y>0.08182</cdr:y>
    </cdr:from>
    <cdr:to>
      <cdr:x>0.3029</cdr:x>
      <cdr:y>0.91919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152176" y="551642"/>
          <a:ext cx="172734" cy="555556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65000"/>
            <a:alpha val="50000"/>
          </a:schemeClr>
        </a:solidFill>
        <a:ln xmlns:a="http://schemas.openxmlformats.org/drawingml/2006/main" w="3175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AR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0.04726</cdr:x>
      <cdr:y>0.7125</cdr:y>
    </cdr:from>
    <cdr:to>
      <cdr:x>0.9936</cdr:x>
      <cdr:y>0.77151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581645" y="3800475"/>
          <a:ext cx="11645944" cy="314759"/>
        </a:xfrm>
        <a:prstGeom xmlns:a="http://schemas.openxmlformats.org/drawingml/2006/main" prst="rect">
          <a:avLst/>
        </a:prstGeom>
        <a:solidFill xmlns:a="http://schemas.openxmlformats.org/drawingml/2006/main">
          <a:srgbClr val="4F81BD">
            <a:alpha val="45098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en-US" sz="1100"/>
        </a:p>
      </cdr:txBody>
    </cdr:sp>
  </cdr:relSizeAnchor>
  <cdr:relSizeAnchor xmlns:cdr="http://schemas.openxmlformats.org/drawingml/2006/chartDrawing">
    <cdr:from>
      <cdr:x>0.00263</cdr:x>
      <cdr:y>0.95455</cdr:y>
    </cdr:from>
    <cdr:to>
      <cdr:x>0.58778</cdr:x>
      <cdr:y>1</cdr:y>
    </cdr:to>
    <cdr:sp macro="" textlink="">
      <cdr:nvSpPr>
        <cdr:cNvPr id="4" name="TextBox 4"/>
        <cdr:cNvSpPr txBox="1"/>
      </cdr:nvSpPr>
      <cdr:spPr>
        <a:xfrm xmlns:a="http://schemas.openxmlformats.org/drawingml/2006/main">
          <a:off x="22546" y="5018833"/>
          <a:ext cx="5016179" cy="238967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GB" sz="9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Rango de nivel socioeconómico de los estudiantes  (Dif. entre los cuartiles superior e inferior) </a:t>
          </a:r>
          <a:endParaRPr lang="en-GB" sz="700" b="1">
            <a:solidFill>
              <a:srgbClr val="FF0000"/>
            </a:solidFill>
            <a:effectLst/>
          </a:endParaRPr>
        </a:p>
      </cdr:txBody>
    </cdr:sp>
  </cdr:relSizeAnchor>
  <cdr:relSizeAnchor xmlns:cdr="http://schemas.openxmlformats.org/drawingml/2006/chartDrawing">
    <cdr:from>
      <cdr:x>0.01754</cdr:x>
      <cdr:y>0.77927</cdr:y>
    </cdr:from>
    <cdr:to>
      <cdr:x>0.04429</cdr:x>
      <cdr:y>0.95536</cdr:y>
    </cdr:to>
    <cdr:sp macro="" textlink="">
      <cdr:nvSpPr>
        <cdr:cNvPr id="6" name="Straight Arrow Connector 5"/>
        <cdr:cNvSpPr/>
      </cdr:nvSpPr>
      <cdr:spPr>
        <a:xfrm xmlns:a="http://schemas.openxmlformats.org/drawingml/2006/main" flipV="1">
          <a:off x="215017" y="4279105"/>
          <a:ext cx="327908" cy="96693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AR"/>
        </a:p>
      </cdr:txBody>
    </cdr:sp>
  </cdr:relSizeAnchor>
  <cdr:relSizeAnchor xmlns:cdr="http://schemas.openxmlformats.org/drawingml/2006/chartDrawing">
    <cdr:from>
      <cdr:x>1.16652E-7</cdr:x>
      <cdr:y>0.00123</cdr:y>
    </cdr:from>
    <cdr:to>
      <cdr:x>0.02778</cdr:x>
      <cdr:y>0.56703</cdr:y>
    </cdr:to>
    <cdr:sp macro="" textlink="">
      <cdr:nvSpPr>
        <cdr:cNvPr id="7" name="TextBox 6"/>
        <cdr:cNvSpPr txBox="1"/>
      </cdr:nvSpPr>
      <cdr:spPr>
        <a:xfrm xmlns:a="http://schemas.openxmlformats.org/drawingml/2006/main" rot="16200000">
          <a:off x="-1368366" y="1374833"/>
          <a:ext cx="2974858" cy="23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ysClr val="windowText" lastClr="000000"/>
              </a:solidFill>
            </a:rPr>
            <a:t>Puntaje promedio en matemática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886D-3252-456D-898A-B6F1B720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PBezem</dc:creator>
  <cp:lastModifiedBy>BSanchez</cp:lastModifiedBy>
  <cp:revision>6</cp:revision>
  <cp:lastPrinted>2014-01-15T17:01:00Z</cp:lastPrinted>
  <dcterms:created xsi:type="dcterms:W3CDTF">2014-04-28T14:08:00Z</dcterms:created>
  <dcterms:modified xsi:type="dcterms:W3CDTF">2014-06-13T20:46:00Z</dcterms:modified>
</cp:coreProperties>
</file>